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2F3" w:rsidRPr="00C662F3" w:rsidRDefault="004C6667" w:rsidP="00C662F3">
      <w:pPr>
        <w:pStyle w:val="Titre1"/>
        <w:numPr>
          <w:ilvl w:val="0"/>
          <w:numId w:val="0"/>
        </w:numPr>
      </w:pPr>
      <w:r w:rsidRPr="0032276E">
        <w:t>Modifications to the Master protocol</w:t>
      </w:r>
      <w:r w:rsidR="00C662F3">
        <w:t xml:space="preserve"> “</w:t>
      </w:r>
      <w:r w:rsidR="00C662F3" w:rsidRPr="00C662F3">
        <w:t>Interventions for the prevention and treatment of COVID‐19: a living mapping of research and living network meta‐analysis”</w:t>
      </w:r>
    </w:p>
    <w:p w:rsidR="00F25F0C" w:rsidRDefault="00F25F0C" w:rsidP="00C662F3">
      <w:r>
        <w:t>Below is the list of changes done from the main master protocol published on Cochrane Library (</w:t>
      </w:r>
      <w:r w:rsidRPr="00C662F3">
        <w:rPr>
          <w:rFonts w:cstheme="majorBidi"/>
          <w:szCs w:val="32"/>
        </w:rPr>
        <w:t>10.1002/14651858.CD013769</w:t>
      </w:r>
      <w:r>
        <w:rPr>
          <w:rFonts w:cstheme="majorBidi"/>
          <w:szCs w:val="32"/>
        </w:rPr>
        <w:t>)</w:t>
      </w:r>
      <w:r>
        <w:t xml:space="preserve"> on the 3rd of November 2020.</w:t>
      </w:r>
    </w:p>
    <w:p w:rsidR="00F25F0C" w:rsidRPr="0032276E" w:rsidRDefault="00F25F0C" w:rsidP="00C662F3">
      <w:bookmarkStart w:id="0" w:name="_GoBack"/>
      <w:bookmarkEnd w:id="0"/>
      <w:r>
        <w:t xml:space="preserve">We report hereby the changes by review. </w:t>
      </w:r>
    </w:p>
    <w:p w:rsidR="00697BB5" w:rsidRPr="0032276E" w:rsidRDefault="002B2FEF" w:rsidP="00E34AB7">
      <w:pPr>
        <w:pStyle w:val="Titre2"/>
      </w:pPr>
      <w:r w:rsidRPr="0032276E">
        <w:t>Pharmacological treatments review</w:t>
      </w:r>
      <w:r w:rsidR="00697BB5" w:rsidRPr="0032276E">
        <w:t xml:space="preserve">: </w:t>
      </w:r>
    </w:p>
    <w:p w:rsidR="00697BB5" w:rsidRPr="0032276E" w:rsidRDefault="00697BB5" w:rsidP="00EF37FA">
      <w:pPr>
        <w:spacing w:line="240" w:lineRule="auto"/>
        <w:jc w:val="both"/>
        <w:rPr>
          <w:rFonts w:ascii="Calibri" w:hAnsi="Calibri" w:cs="Calibri"/>
          <w:color w:val="000000" w:themeColor="text1"/>
          <w:sz w:val="24"/>
          <w:szCs w:val="24"/>
        </w:rPr>
      </w:pPr>
      <w:r w:rsidRPr="0032276E">
        <w:rPr>
          <w:rFonts w:ascii="Calibri" w:hAnsi="Calibri" w:cs="Calibri"/>
          <w:color w:val="000000" w:themeColor="text1"/>
          <w:sz w:val="24"/>
          <w:szCs w:val="24"/>
        </w:rPr>
        <w:t>Below are the changes made in the review compared to the protocol:</w:t>
      </w:r>
    </w:p>
    <w:p w:rsidR="00E15BD9" w:rsidRPr="0032276E" w:rsidRDefault="00374728" w:rsidP="001C1B33">
      <w:pPr>
        <w:pStyle w:val="Titre3"/>
      </w:pPr>
      <w:r w:rsidRPr="0032276E">
        <w:t>Screening and eligibility criteria:</w:t>
      </w:r>
    </w:p>
    <w:p w:rsidR="00374728" w:rsidRDefault="00374728" w:rsidP="00EF37FA">
      <w:pPr>
        <w:spacing w:line="240" w:lineRule="auto"/>
        <w:rPr>
          <w:rFonts w:ascii="Calibri" w:hAnsi="Calibri" w:cs="Calibri"/>
          <w:sz w:val="24"/>
          <w:szCs w:val="24"/>
          <w:lang w:eastAsia="fr-FR"/>
        </w:rPr>
      </w:pPr>
      <w:r w:rsidRPr="0032276E">
        <w:rPr>
          <w:rFonts w:ascii="Calibri" w:hAnsi="Calibri" w:cs="Calibri"/>
          <w:color w:val="FF0000"/>
          <w:sz w:val="24"/>
          <w:szCs w:val="24"/>
        </w:rPr>
        <w:br/>
      </w:r>
      <w:r w:rsidRPr="0032276E">
        <w:rPr>
          <w:rFonts w:ascii="Calibri" w:hAnsi="Calibri" w:cs="Calibri"/>
          <w:sz w:val="24"/>
          <w:szCs w:val="24"/>
          <w:lang w:eastAsia="fr-FR"/>
        </w:rPr>
        <w:t>As of March 1, 2022, the COVID-NMA revised its protocol to include only studies evaluating immunomodulators and antiviral therapies. Comparisons evaluating antivirals and immunomodulators will continue to be updated every two weeks.</w:t>
      </w:r>
    </w:p>
    <w:p w:rsidR="00374728" w:rsidRDefault="00374728"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For treatments that are neither immunomodulators nor antivirals, we present online the updated results up to Feb 28, 2022 including all identified reports through our search strategy up to this date.</w:t>
      </w:r>
    </w:p>
    <w:p w:rsidR="00134B24" w:rsidRPr="0032276E" w:rsidRDefault="00134B24" w:rsidP="00134B24">
      <w:pPr>
        <w:pStyle w:val="NormalWeb"/>
        <w:spacing w:before="0" w:beforeAutospacing="0" w:after="0" w:afterAutospacing="0"/>
        <w:rPr>
          <w:rFonts w:ascii="Calibri" w:eastAsia="Calibri" w:hAnsi="Calibri" w:cs="Calibri"/>
          <w:lang w:val="en-GB"/>
        </w:rPr>
      </w:pPr>
      <w:r>
        <w:rPr>
          <w:rFonts w:ascii="Calibri" w:eastAsia="Calibri" w:hAnsi="Calibri" w:cs="Calibri"/>
          <w:lang w:val="en-GB"/>
        </w:rPr>
        <w:t>As of December 2021, we continue to conduct s</w:t>
      </w:r>
      <w:r w:rsidRPr="0032276E">
        <w:rPr>
          <w:rFonts w:ascii="Calibri" w:eastAsia="Calibri" w:hAnsi="Calibri" w:cs="Calibri"/>
          <w:lang w:val="en-GB"/>
        </w:rPr>
        <w:t>creening</w:t>
      </w:r>
      <w:r>
        <w:rPr>
          <w:rFonts w:ascii="Calibri" w:eastAsia="Calibri" w:hAnsi="Calibri" w:cs="Calibri"/>
          <w:lang w:val="en-GB"/>
        </w:rPr>
        <w:t xml:space="preserve"> on a weekly basis rather than on daily basis. </w:t>
      </w:r>
      <w:r w:rsidRPr="0032276E">
        <w:rPr>
          <w:rFonts w:ascii="Calibri" w:eastAsia="Calibri" w:hAnsi="Calibri" w:cs="Calibri"/>
          <w:lang w:val="en-GB"/>
        </w:rPr>
        <w:t xml:space="preserve"> </w:t>
      </w:r>
    </w:p>
    <w:p w:rsidR="00E86156" w:rsidRPr="0032276E" w:rsidRDefault="00E86156"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Given the increase in the number of randomized controlled trials, we decided to stop extracting data from Non-Randomized Studies as of Sep 2,</w:t>
      </w:r>
      <w:r w:rsidR="00911241">
        <w:rPr>
          <w:rFonts w:ascii="Calibri" w:eastAsia="Calibri" w:hAnsi="Calibri" w:cs="Calibri"/>
          <w:lang w:val="en-GB"/>
        </w:rPr>
        <w:t xml:space="preserve"> </w:t>
      </w:r>
      <w:r w:rsidRPr="0032276E">
        <w:rPr>
          <w:rFonts w:ascii="Calibri" w:eastAsia="Calibri" w:hAnsi="Calibri" w:cs="Calibri"/>
          <w:lang w:val="en-GB"/>
        </w:rPr>
        <w:t>2020.</w:t>
      </w:r>
    </w:p>
    <w:p w:rsidR="00134B24" w:rsidRDefault="00134B24" w:rsidP="00EF37FA">
      <w:pPr>
        <w:pStyle w:val="NormalWeb"/>
        <w:spacing w:before="0" w:beforeAutospacing="0" w:after="0" w:afterAutospacing="0"/>
        <w:rPr>
          <w:rFonts w:ascii="Calibri" w:eastAsia="Calibri" w:hAnsi="Calibri" w:cs="Calibri"/>
          <w:lang w:val="en-GB"/>
        </w:rPr>
      </w:pPr>
    </w:p>
    <w:p w:rsidR="00DF62E5" w:rsidRDefault="00DF62E5" w:rsidP="00DF62E5">
      <w:pPr>
        <w:pStyle w:val="Titre3"/>
      </w:pPr>
      <w:r w:rsidRPr="0032276E">
        <w:t>Outcomes:</w:t>
      </w:r>
    </w:p>
    <w:p w:rsidR="00DF62E5" w:rsidRDefault="00DF62E5" w:rsidP="00DF62E5">
      <w:r>
        <w:t>January 27,</w:t>
      </w:r>
      <w:r w:rsidR="009D6A6A">
        <w:t xml:space="preserve"> </w:t>
      </w:r>
      <w:r>
        <w:t xml:space="preserve">2021: </w:t>
      </w:r>
    </w:p>
    <w:p w:rsidR="002652B7" w:rsidRDefault="00DF62E5" w:rsidP="00DF62E5">
      <w:pPr>
        <w:rPr>
          <w:rFonts w:ascii="Calibri" w:hAnsi="Calibri" w:cs="Calibri"/>
          <w:color w:val="000000" w:themeColor="text1"/>
          <w:sz w:val="24"/>
          <w:szCs w:val="24"/>
        </w:rPr>
      </w:pPr>
      <w:r w:rsidRPr="0032276E">
        <w:rPr>
          <w:rFonts w:ascii="Calibri" w:hAnsi="Calibri" w:cs="Calibri"/>
          <w:color w:val="000000" w:themeColor="text1"/>
          <w:sz w:val="24"/>
          <w:szCs w:val="24"/>
        </w:rPr>
        <w:t>To avoid multiplicity, we reduced the number of outcomes</w:t>
      </w:r>
      <w:r>
        <w:rPr>
          <w:rFonts w:ascii="Calibri" w:hAnsi="Calibri" w:cs="Calibri"/>
          <w:color w:val="000000" w:themeColor="text1"/>
          <w:sz w:val="24"/>
          <w:szCs w:val="24"/>
        </w:rPr>
        <w:t xml:space="preserve"> evaluated in the review</w:t>
      </w:r>
      <w:r w:rsidRPr="0032276E">
        <w:rPr>
          <w:rFonts w:ascii="Calibri" w:hAnsi="Calibri" w:cs="Calibri"/>
          <w:color w:val="000000" w:themeColor="text1"/>
          <w:sz w:val="24"/>
          <w:szCs w:val="24"/>
        </w:rPr>
        <w:t xml:space="preserve">. </w:t>
      </w:r>
      <w:r>
        <w:rPr>
          <w:rFonts w:ascii="Calibri" w:hAnsi="Calibri" w:cs="Calibri"/>
          <w:color w:val="000000" w:themeColor="text1"/>
          <w:sz w:val="24"/>
          <w:szCs w:val="24"/>
        </w:rPr>
        <w:t>W</w:t>
      </w:r>
      <w:r w:rsidRPr="0032276E">
        <w:rPr>
          <w:rFonts w:ascii="Calibri" w:hAnsi="Calibri" w:cs="Calibri"/>
          <w:color w:val="000000" w:themeColor="text1"/>
          <w:sz w:val="24"/>
          <w:szCs w:val="24"/>
        </w:rPr>
        <w:t>e consider</w:t>
      </w:r>
      <w:r w:rsidR="00BC59DD">
        <w:rPr>
          <w:rFonts w:ascii="Calibri" w:hAnsi="Calibri" w:cs="Calibri"/>
          <w:color w:val="000000" w:themeColor="text1"/>
          <w:sz w:val="24"/>
          <w:szCs w:val="24"/>
        </w:rPr>
        <w:t>ed</w:t>
      </w:r>
      <w:r w:rsidRPr="0032276E">
        <w:rPr>
          <w:rFonts w:ascii="Calibri" w:hAnsi="Calibri" w:cs="Calibri"/>
          <w:color w:val="000000" w:themeColor="text1"/>
          <w:sz w:val="24"/>
          <w:szCs w:val="24"/>
        </w:rPr>
        <w:t xml:space="preserve"> only two time-points (D28 and ≥ D60</w:t>
      </w:r>
      <w:r>
        <w:rPr>
          <w:rFonts w:ascii="Calibri" w:hAnsi="Calibri" w:cs="Calibri"/>
          <w:color w:val="000000" w:themeColor="text1"/>
          <w:sz w:val="24"/>
          <w:szCs w:val="24"/>
        </w:rPr>
        <w:t xml:space="preserve">) for </w:t>
      </w:r>
      <w:r w:rsidRPr="0032276E">
        <w:rPr>
          <w:rFonts w:ascii="Calibri" w:hAnsi="Calibri" w:cs="Calibri"/>
          <w:color w:val="000000" w:themeColor="text1"/>
          <w:sz w:val="24"/>
          <w:szCs w:val="24"/>
        </w:rPr>
        <w:t xml:space="preserve">the </w:t>
      </w:r>
      <w:r>
        <w:rPr>
          <w:rFonts w:ascii="Calibri" w:hAnsi="Calibri" w:cs="Calibri"/>
          <w:color w:val="000000" w:themeColor="text1"/>
          <w:sz w:val="24"/>
          <w:szCs w:val="24"/>
        </w:rPr>
        <w:t xml:space="preserve">following </w:t>
      </w:r>
      <w:r w:rsidRPr="0032276E">
        <w:rPr>
          <w:rFonts w:ascii="Calibri" w:hAnsi="Calibri" w:cs="Calibri"/>
          <w:color w:val="000000" w:themeColor="text1"/>
          <w:sz w:val="24"/>
          <w:szCs w:val="24"/>
        </w:rPr>
        <w:t>outcom</w:t>
      </w:r>
      <w:r>
        <w:rPr>
          <w:rFonts w:ascii="Calibri" w:hAnsi="Calibri" w:cs="Calibri"/>
          <w:color w:val="000000" w:themeColor="text1"/>
          <w:sz w:val="24"/>
          <w:szCs w:val="24"/>
        </w:rPr>
        <w:t xml:space="preserve">es: </w:t>
      </w:r>
    </w:p>
    <w:p w:rsidR="00DF62E5" w:rsidRDefault="00DF62E5" w:rsidP="00DF62E5">
      <w:pPr>
        <w:rPr>
          <w:rFonts w:ascii="Calibri" w:hAnsi="Calibri" w:cs="Calibri"/>
          <w:color w:val="000000" w:themeColor="text1"/>
          <w:sz w:val="24"/>
          <w:szCs w:val="24"/>
        </w:rPr>
      </w:pPr>
      <w:r>
        <w:rPr>
          <w:rFonts w:ascii="Calibri" w:hAnsi="Calibri" w:cs="Calibri"/>
          <w:color w:val="000000" w:themeColor="text1"/>
          <w:sz w:val="24"/>
          <w:szCs w:val="24"/>
        </w:rPr>
        <w:t xml:space="preserve">clinical improvement, WHO score 7 or above, and all-cause mortality. </w:t>
      </w:r>
    </w:p>
    <w:p w:rsidR="00EE0291" w:rsidRPr="00EE0291" w:rsidRDefault="00EE0291" w:rsidP="00EE0291">
      <w:pPr>
        <w:rPr>
          <w:rFonts w:ascii="Calibri" w:hAnsi="Calibri" w:cs="Calibri"/>
          <w:color w:val="000000" w:themeColor="text1"/>
          <w:sz w:val="24"/>
          <w:szCs w:val="24"/>
        </w:rPr>
      </w:pPr>
      <w:r w:rsidRPr="00EE0291">
        <w:rPr>
          <w:rFonts w:ascii="Calibri" w:hAnsi="Calibri" w:cs="Calibri"/>
          <w:color w:val="000000" w:themeColor="text1"/>
          <w:sz w:val="24"/>
          <w:szCs w:val="24"/>
        </w:rPr>
        <w:t>We considered the outcome Viral negative conversion (D7) outcome as critical outcome.</w:t>
      </w:r>
    </w:p>
    <w:p w:rsidR="00DF62E5" w:rsidRDefault="00DF62E5" w:rsidP="00DF62E5">
      <w:pPr>
        <w:spacing w:line="240" w:lineRule="auto"/>
        <w:jc w:val="both"/>
        <w:rPr>
          <w:rFonts w:ascii="Calibri" w:hAnsi="Calibri" w:cs="Calibri"/>
          <w:color w:val="000000" w:themeColor="text1"/>
          <w:sz w:val="24"/>
          <w:szCs w:val="24"/>
        </w:rPr>
      </w:pPr>
      <w:r w:rsidRPr="0032276E">
        <w:rPr>
          <w:rFonts w:ascii="Calibri" w:hAnsi="Calibri" w:cs="Calibri"/>
          <w:color w:val="000000" w:themeColor="text1"/>
          <w:sz w:val="24"/>
          <w:szCs w:val="24"/>
        </w:rPr>
        <w:t xml:space="preserve">We </w:t>
      </w:r>
      <w:r w:rsidR="00BC59DD">
        <w:rPr>
          <w:rFonts w:ascii="Calibri" w:hAnsi="Calibri" w:cs="Calibri"/>
          <w:color w:val="000000" w:themeColor="text1"/>
          <w:sz w:val="24"/>
          <w:szCs w:val="24"/>
        </w:rPr>
        <w:t>removed</w:t>
      </w:r>
      <w:r>
        <w:rPr>
          <w:rFonts w:ascii="Calibri" w:hAnsi="Calibri" w:cs="Calibri"/>
          <w:color w:val="000000" w:themeColor="text1"/>
          <w:sz w:val="24"/>
          <w:szCs w:val="24"/>
        </w:rPr>
        <w:t xml:space="preserve"> the outcome</w:t>
      </w:r>
      <w:r w:rsidRPr="0032276E">
        <w:rPr>
          <w:rFonts w:ascii="Calibri" w:hAnsi="Calibri" w:cs="Calibri"/>
          <w:color w:val="000000" w:themeColor="text1"/>
          <w:sz w:val="24"/>
          <w:szCs w:val="24"/>
        </w:rPr>
        <w:t xml:space="preserve"> </w:t>
      </w:r>
      <w:r>
        <w:rPr>
          <w:rFonts w:ascii="Calibri" w:hAnsi="Calibri" w:cs="Calibri"/>
          <w:color w:val="000000" w:themeColor="text1"/>
          <w:sz w:val="24"/>
          <w:szCs w:val="24"/>
        </w:rPr>
        <w:t>“</w:t>
      </w:r>
      <w:r w:rsidRPr="0032276E">
        <w:rPr>
          <w:rFonts w:ascii="Calibri" w:hAnsi="Calibri" w:cs="Calibri"/>
          <w:color w:val="000000" w:themeColor="text1"/>
          <w:sz w:val="24"/>
          <w:szCs w:val="24"/>
        </w:rPr>
        <w:t>WHO Clinical Progression Score level 6 or above</w:t>
      </w:r>
      <w:r>
        <w:rPr>
          <w:rFonts w:ascii="Calibri" w:hAnsi="Calibri" w:cs="Calibri"/>
          <w:color w:val="000000" w:themeColor="text1"/>
          <w:sz w:val="24"/>
          <w:szCs w:val="24"/>
        </w:rPr>
        <w:t>”</w:t>
      </w:r>
      <w:r w:rsidRPr="0032276E">
        <w:rPr>
          <w:rFonts w:ascii="Calibri" w:hAnsi="Calibri" w:cs="Calibri"/>
          <w:color w:val="000000" w:themeColor="text1"/>
          <w:sz w:val="24"/>
          <w:szCs w:val="24"/>
        </w:rPr>
        <w:t xml:space="preserve"> </w:t>
      </w:r>
      <w:r w:rsidR="00EE0291">
        <w:rPr>
          <w:rFonts w:ascii="Calibri" w:hAnsi="Calibri" w:cs="Calibri"/>
          <w:color w:val="000000" w:themeColor="text1"/>
          <w:sz w:val="24"/>
          <w:szCs w:val="24"/>
        </w:rPr>
        <w:t xml:space="preserve">and “time to </w:t>
      </w:r>
      <w:r w:rsidR="00EE0291" w:rsidRPr="0032276E">
        <w:rPr>
          <w:rFonts w:ascii="Calibri" w:hAnsi="Calibri" w:cs="Calibri"/>
          <w:color w:val="000000" w:themeColor="text1"/>
          <w:sz w:val="24"/>
          <w:szCs w:val="24"/>
        </w:rPr>
        <w:t>WHO Clinical Progression Score</w:t>
      </w:r>
      <w:r w:rsidR="00EE0291">
        <w:rPr>
          <w:rFonts w:ascii="Calibri" w:hAnsi="Calibri" w:cs="Calibri"/>
          <w:color w:val="000000" w:themeColor="text1"/>
          <w:sz w:val="24"/>
          <w:szCs w:val="24"/>
        </w:rPr>
        <w:t xml:space="preserve"> 6 or above” </w:t>
      </w:r>
      <w:r>
        <w:rPr>
          <w:rFonts w:ascii="Calibri" w:hAnsi="Calibri" w:cs="Calibri"/>
          <w:color w:val="000000" w:themeColor="text1"/>
          <w:sz w:val="24"/>
          <w:szCs w:val="24"/>
        </w:rPr>
        <w:t>since</w:t>
      </w:r>
      <w:r w:rsidRPr="0032276E">
        <w:rPr>
          <w:rFonts w:ascii="Calibri" w:hAnsi="Calibri" w:cs="Calibri"/>
          <w:color w:val="000000" w:themeColor="text1"/>
          <w:sz w:val="24"/>
          <w:szCs w:val="24"/>
        </w:rPr>
        <w:t xml:space="preserve"> the definition used in the studies appears to be subject to variation due to local guidelines and resources. It is therefore an unreliable or inconsistent indicator when assessed across studies.</w:t>
      </w:r>
    </w:p>
    <w:p w:rsidR="00DF62E5" w:rsidRDefault="00DF62E5" w:rsidP="00DF62E5">
      <w:pPr>
        <w:spacing w:line="240" w:lineRule="auto"/>
        <w:jc w:val="both"/>
        <w:rPr>
          <w:rFonts w:ascii="Calibri" w:hAnsi="Calibri" w:cs="Calibri"/>
          <w:color w:val="000000" w:themeColor="text1"/>
          <w:sz w:val="24"/>
          <w:szCs w:val="24"/>
        </w:rPr>
      </w:pPr>
      <w:r>
        <w:rPr>
          <w:rFonts w:ascii="Calibri" w:hAnsi="Calibri" w:cs="Calibri"/>
          <w:color w:val="000000" w:themeColor="text1"/>
          <w:sz w:val="24"/>
          <w:szCs w:val="24"/>
        </w:rPr>
        <w:t>March 2021:</w:t>
      </w:r>
    </w:p>
    <w:p w:rsidR="00DF62E5" w:rsidRDefault="00DF62E5" w:rsidP="00DF62E5">
      <w:pPr>
        <w:spacing w:line="240" w:lineRule="auto"/>
        <w:jc w:val="both"/>
        <w:rPr>
          <w:rFonts w:ascii="Calibri" w:hAnsi="Calibri" w:cs="Calibri"/>
          <w:color w:val="000000" w:themeColor="text1"/>
          <w:sz w:val="24"/>
          <w:szCs w:val="24"/>
        </w:rPr>
      </w:pPr>
      <w:r>
        <w:rPr>
          <w:rFonts w:ascii="Calibri" w:hAnsi="Calibri" w:cs="Calibri"/>
          <w:color w:val="000000" w:themeColor="text1"/>
          <w:sz w:val="24"/>
          <w:szCs w:val="24"/>
        </w:rPr>
        <w:t>Hospitalization or death outcome was added as a new outcome for the outpatient setting review.</w:t>
      </w:r>
    </w:p>
    <w:p w:rsidR="00E15BD9" w:rsidRPr="0032276E" w:rsidRDefault="003B2DF7" w:rsidP="001C1B33">
      <w:pPr>
        <w:pStyle w:val="Titre3"/>
      </w:pPr>
      <w:r w:rsidRPr="0032276E">
        <w:t xml:space="preserve">Data extraction: </w:t>
      </w:r>
    </w:p>
    <w:p w:rsidR="003B2DF7" w:rsidRPr="0032276E" w:rsidRDefault="00134B24" w:rsidP="00EF37FA">
      <w:pPr>
        <w:spacing w:line="240" w:lineRule="auto"/>
        <w:jc w:val="both"/>
        <w:rPr>
          <w:rFonts w:ascii="Calibri" w:eastAsia="Calibri" w:hAnsi="Calibri" w:cs="Calibri"/>
          <w:sz w:val="24"/>
          <w:szCs w:val="24"/>
        </w:rPr>
      </w:pPr>
      <w:r>
        <w:rPr>
          <w:rFonts w:ascii="Calibri" w:eastAsia="Calibri" w:hAnsi="Calibri" w:cs="Calibri"/>
          <w:sz w:val="24"/>
          <w:szCs w:val="24"/>
        </w:rPr>
        <w:t>As of March 2021, w</w:t>
      </w:r>
      <w:r w:rsidR="003B2DF7" w:rsidRPr="0032276E">
        <w:rPr>
          <w:rFonts w:ascii="Calibri" w:eastAsia="Calibri" w:hAnsi="Calibri" w:cs="Calibri"/>
          <w:sz w:val="24"/>
          <w:szCs w:val="24"/>
        </w:rPr>
        <w:t xml:space="preserve">e made modification on the data extraction form to consider specific variables for studies conducted in outpatients’ settings and included one additional outcome on hospitalization or death. Studies conducted in ambulatory outpatient setting </w:t>
      </w:r>
      <w:r>
        <w:rPr>
          <w:rFonts w:ascii="Calibri" w:eastAsia="Calibri" w:hAnsi="Calibri" w:cs="Calibri"/>
          <w:sz w:val="24"/>
          <w:szCs w:val="24"/>
        </w:rPr>
        <w:t>are</w:t>
      </w:r>
      <w:r w:rsidR="003B2DF7" w:rsidRPr="0032276E">
        <w:rPr>
          <w:rFonts w:ascii="Calibri" w:eastAsia="Calibri" w:hAnsi="Calibri" w:cs="Calibri"/>
          <w:sz w:val="24"/>
          <w:szCs w:val="24"/>
        </w:rPr>
        <w:t xml:space="preserve"> not</w:t>
      </w:r>
      <w:r>
        <w:rPr>
          <w:rFonts w:ascii="Calibri" w:eastAsia="Calibri" w:hAnsi="Calibri" w:cs="Calibri"/>
          <w:sz w:val="24"/>
          <w:szCs w:val="24"/>
        </w:rPr>
        <w:t xml:space="preserve"> to</w:t>
      </w:r>
      <w:r w:rsidR="003B2DF7" w:rsidRPr="0032276E">
        <w:rPr>
          <w:rFonts w:ascii="Calibri" w:eastAsia="Calibri" w:hAnsi="Calibri" w:cs="Calibri"/>
          <w:sz w:val="24"/>
          <w:szCs w:val="24"/>
        </w:rPr>
        <w:t xml:space="preserve"> be </w:t>
      </w:r>
      <w:r w:rsidR="003B2DF7" w:rsidRPr="0032276E">
        <w:rPr>
          <w:rFonts w:ascii="Calibri" w:eastAsia="Calibri" w:hAnsi="Calibri" w:cs="Calibri"/>
          <w:sz w:val="24"/>
          <w:szCs w:val="24"/>
        </w:rPr>
        <w:lastRenderedPageBreak/>
        <w:t xml:space="preserve">pooled with hospitalized setting. A separate analysis and grade </w:t>
      </w:r>
      <w:r>
        <w:rPr>
          <w:rFonts w:ascii="Calibri" w:eastAsia="Calibri" w:hAnsi="Calibri" w:cs="Calibri"/>
          <w:sz w:val="24"/>
          <w:szCs w:val="24"/>
        </w:rPr>
        <w:t>for</w:t>
      </w:r>
      <w:r w:rsidR="003B2DF7" w:rsidRPr="0032276E">
        <w:rPr>
          <w:rFonts w:ascii="Calibri" w:eastAsia="Calibri" w:hAnsi="Calibri" w:cs="Calibri"/>
          <w:sz w:val="24"/>
          <w:szCs w:val="24"/>
        </w:rPr>
        <w:t xml:space="preserve"> </w:t>
      </w:r>
      <w:r>
        <w:rPr>
          <w:rFonts w:ascii="Calibri" w:eastAsia="Calibri" w:hAnsi="Calibri" w:cs="Calibri"/>
          <w:sz w:val="24"/>
          <w:szCs w:val="24"/>
        </w:rPr>
        <w:t>o</w:t>
      </w:r>
      <w:r w:rsidR="003B2DF7" w:rsidRPr="0032276E">
        <w:rPr>
          <w:rFonts w:ascii="Calibri" w:eastAsia="Calibri" w:hAnsi="Calibri" w:cs="Calibri"/>
          <w:sz w:val="24"/>
          <w:szCs w:val="24"/>
        </w:rPr>
        <w:t>utpatients</w:t>
      </w:r>
      <w:r>
        <w:rPr>
          <w:rFonts w:ascii="Calibri" w:eastAsia="Calibri" w:hAnsi="Calibri" w:cs="Calibri"/>
          <w:sz w:val="24"/>
          <w:szCs w:val="24"/>
        </w:rPr>
        <w:t xml:space="preserve"> setting </w:t>
      </w:r>
      <w:r w:rsidR="00BC59DD">
        <w:rPr>
          <w:rFonts w:ascii="Calibri" w:eastAsia="Calibri" w:hAnsi="Calibri" w:cs="Calibri"/>
          <w:sz w:val="24"/>
          <w:szCs w:val="24"/>
        </w:rPr>
        <w:t xml:space="preserve">was </w:t>
      </w:r>
      <w:r>
        <w:rPr>
          <w:rFonts w:ascii="Calibri" w:eastAsia="Calibri" w:hAnsi="Calibri" w:cs="Calibri"/>
          <w:sz w:val="24"/>
          <w:szCs w:val="24"/>
        </w:rPr>
        <w:t>performed as of April 2021.</w:t>
      </w:r>
    </w:p>
    <w:p w:rsidR="00E15BD9" w:rsidRPr="0032276E" w:rsidRDefault="00697BB5" w:rsidP="001C1B33">
      <w:pPr>
        <w:pStyle w:val="Titre3"/>
      </w:pPr>
      <w:r w:rsidRPr="0032276E">
        <w:t>Risk of bias assessment:</w:t>
      </w:r>
    </w:p>
    <w:p w:rsidR="00490D4A" w:rsidRDefault="00490D4A" w:rsidP="00EF37FA">
      <w:pPr>
        <w:pStyle w:val="NormalWeb"/>
        <w:jc w:val="both"/>
        <w:rPr>
          <w:rFonts w:ascii="Calibri" w:hAnsi="Calibri" w:cs="Calibri"/>
          <w:color w:val="000000" w:themeColor="text1"/>
          <w:lang w:val="en-GB"/>
        </w:rPr>
      </w:pPr>
      <w:r>
        <w:rPr>
          <w:rFonts w:ascii="Calibri" w:hAnsi="Calibri" w:cs="Calibri"/>
          <w:color w:val="000000" w:themeColor="text1"/>
          <w:lang w:val="en-GB"/>
        </w:rPr>
        <w:t>October 2020: For Rob domain 2, w</w:t>
      </w:r>
      <w:r w:rsidR="00697BB5" w:rsidRPr="0032276E">
        <w:rPr>
          <w:rFonts w:ascii="Calibri" w:hAnsi="Calibri" w:cs="Calibri"/>
          <w:color w:val="000000" w:themeColor="text1"/>
          <w:lang w:val="en-GB"/>
        </w:rPr>
        <w:t xml:space="preserve">e </w:t>
      </w:r>
      <w:r w:rsidR="00BC59DD">
        <w:rPr>
          <w:rFonts w:ascii="Calibri" w:hAnsi="Calibri" w:cs="Calibri"/>
          <w:color w:val="000000" w:themeColor="text1"/>
          <w:lang w:val="en-GB"/>
        </w:rPr>
        <w:t>stopped to</w:t>
      </w:r>
      <w:r w:rsidR="00697BB5" w:rsidRPr="0032276E">
        <w:rPr>
          <w:rFonts w:ascii="Calibri" w:hAnsi="Calibri" w:cs="Calibri"/>
          <w:color w:val="000000" w:themeColor="text1"/>
          <w:lang w:val="en-GB"/>
        </w:rPr>
        <w:t xml:space="preserve"> consider anticoagulants as a relevant co-intervention for assessing risk of bias in the domain deviations from intervention</w:t>
      </w:r>
      <w:r w:rsidR="00A802AD">
        <w:rPr>
          <w:rFonts w:ascii="Calibri" w:hAnsi="Calibri" w:cs="Calibri"/>
          <w:color w:val="000000" w:themeColor="text1"/>
          <w:lang w:val="en-GB"/>
        </w:rPr>
        <w:t>. The decision was made</w:t>
      </w:r>
      <w:r w:rsidR="00697BB5" w:rsidRPr="0032276E">
        <w:rPr>
          <w:rFonts w:ascii="Calibri" w:hAnsi="Calibri" w:cs="Calibri"/>
          <w:color w:val="000000" w:themeColor="text1"/>
          <w:lang w:val="en-GB"/>
        </w:rPr>
        <w:t xml:space="preserve"> after discussion with content experts.</w:t>
      </w:r>
      <w:r w:rsidR="00374728" w:rsidRPr="0032276E">
        <w:rPr>
          <w:rFonts w:ascii="Calibri" w:hAnsi="Calibri" w:cs="Calibri"/>
          <w:color w:val="000000" w:themeColor="text1"/>
          <w:lang w:val="en-GB"/>
        </w:rPr>
        <w:t xml:space="preserve"> </w:t>
      </w:r>
      <w:r>
        <w:rPr>
          <w:rFonts w:ascii="Calibri" w:hAnsi="Calibri" w:cs="Calibri"/>
          <w:color w:val="000000" w:themeColor="text1"/>
          <w:lang w:val="en-GB"/>
        </w:rPr>
        <w:t xml:space="preserve">It is only of concern for anticoagulant studies. </w:t>
      </w:r>
    </w:p>
    <w:p w:rsidR="00697BB5" w:rsidRPr="0032276E" w:rsidRDefault="00490D4A" w:rsidP="00EF37FA">
      <w:pPr>
        <w:pStyle w:val="NormalWeb"/>
        <w:jc w:val="both"/>
        <w:rPr>
          <w:rFonts w:ascii="Calibri" w:hAnsi="Calibri" w:cs="Calibri"/>
          <w:color w:val="000000" w:themeColor="text1"/>
          <w:lang w:val="en-GB"/>
        </w:rPr>
      </w:pPr>
      <w:r>
        <w:rPr>
          <w:rFonts w:ascii="Calibri" w:hAnsi="Calibri" w:cs="Calibri"/>
          <w:color w:val="000000" w:themeColor="text1"/>
          <w:lang w:val="en-GB"/>
        </w:rPr>
        <w:t xml:space="preserve">April 2021: </w:t>
      </w:r>
      <w:r w:rsidR="00374728" w:rsidRPr="0032276E">
        <w:rPr>
          <w:rFonts w:ascii="Calibri" w:hAnsi="Calibri" w:cs="Calibri"/>
          <w:color w:val="000000" w:themeColor="text1"/>
          <w:lang w:val="en-GB"/>
        </w:rPr>
        <w:t xml:space="preserve">We </w:t>
      </w:r>
      <w:r w:rsidR="00BC59DD">
        <w:rPr>
          <w:rFonts w:ascii="Calibri" w:hAnsi="Calibri" w:cs="Calibri"/>
          <w:color w:val="000000" w:themeColor="text1"/>
          <w:lang w:val="en-GB"/>
        </w:rPr>
        <w:t>decided not to</w:t>
      </w:r>
      <w:r w:rsidR="00374728" w:rsidRPr="0032276E">
        <w:rPr>
          <w:rFonts w:ascii="Calibri" w:hAnsi="Calibri" w:cs="Calibri"/>
          <w:color w:val="000000" w:themeColor="text1"/>
          <w:lang w:val="en-GB"/>
        </w:rPr>
        <w:t xml:space="preserve"> consider any cointervention relevant for studies conducted for outpatient setting.</w:t>
      </w:r>
    </w:p>
    <w:p w:rsidR="00E15BD9" w:rsidRPr="0032276E" w:rsidRDefault="00697BB5" w:rsidP="001C1B33">
      <w:pPr>
        <w:pStyle w:val="Titre3"/>
      </w:pPr>
      <w:r w:rsidRPr="0032276E">
        <w:t>Contact authors:</w:t>
      </w:r>
    </w:p>
    <w:p w:rsidR="00D44380" w:rsidRDefault="00697BB5" w:rsidP="00EF37FA">
      <w:pPr>
        <w:spacing w:line="240" w:lineRule="auto"/>
        <w:jc w:val="both"/>
        <w:rPr>
          <w:rFonts w:ascii="Calibri" w:hAnsi="Calibri" w:cs="Calibri"/>
          <w:color w:val="000000" w:themeColor="text1"/>
          <w:sz w:val="24"/>
          <w:szCs w:val="24"/>
          <w:shd w:val="clear" w:color="auto" w:fill="FFFFFF"/>
        </w:rPr>
      </w:pPr>
      <w:r w:rsidRPr="0032276E">
        <w:rPr>
          <w:rFonts w:ascii="Calibri" w:hAnsi="Calibri" w:cs="Calibri"/>
          <w:color w:val="000000" w:themeColor="text1"/>
          <w:sz w:val="24"/>
          <w:szCs w:val="24"/>
          <w:shd w:val="clear" w:color="auto" w:fill="FFFFFF"/>
        </w:rPr>
        <w:t xml:space="preserve"> As of April 2021, </w:t>
      </w:r>
      <w:r w:rsidR="00D44380">
        <w:rPr>
          <w:rFonts w:ascii="Calibri" w:hAnsi="Calibri" w:cs="Calibri"/>
          <w:color w:val="000000" w:themeColor="text1"/>
          <w:sz w:val="24"/>
          <w:szCs w:val="24"/>
          <w:shd w:val="clear" w:color="auto" w:fill="FFFFFF"/>
        </w:rPr>
        <w:t xml:space="preserve">following changes in the eligibility criteria, </w:t>
      </w:r>
      <w:r w:rsidRPr="0032276E">
        <w:rPr>
          <w:rFonts w:ascii="Calibri" w:hAnsi="Calibri" w:cs="Calibri"/>
          <w:color w:val="000000" w:themeColor="text1"/>
          <w:sz w:val="24"/>
          <w:szCs w:val="24"/>
          <w:shd w:val="clear" w:color="auto" w:fill="FFFFFF"/>
        </w:rPr>
        <w:t>we continue</w:t>
      </w:r>
      <w:r w:rsidR="00490D4A">
        <w:rPr>
          <w:rFonts w:ascii="Calibri" w:hAnsi="Calibri" w:cs="Calibri"/>
          <w:color w:val="000000" w:themeColor="text1"/>
          <w:sz w:val="24"/>
          <w:szCs w:val="24"/>
          <w:shd w:val="clear" w:color="auto" w:fill="FFFFFF"/>
        </w:rPr>
        <w:t>d</w:t>
      </w:r>
      <w:r w:rsidRPr="0032276E">
        <w:rPr>
          <w:rFonts w:ascii="Calibri" w:hAnsi="Calibri" w:cs="Calibri"/>
          <w:color w:val="000000" w:themeColor="text1"/>
          <w:sz w:val="24"/>
          <w:szCs w:val="24"/>
          <w:shd w:val="clear" w:color="auto" w:fill="FFFFFF"/>
        </w:rPr>
        <w:t xml:space="preserve"> to contact authors of studies included in the meta-analyses of antivirals and immunomodulators</w:t>
      </w:r>
      <w:r w:rsidR="00D44380">
        <w:rPr>
          <w:rFonts w:ascii="Calibri" w:hAnsi="Calibri" w:cs="Calibri"/>
          <w:color w:val="000000" w:themeColor="text1"/>
          <w:sz w:val="24"/>
          <w:szCs w:val="24"/>
          <w:shd w:val="clear" w:color="auto" w:fill="FFFFFF"/>
        </w:rPr>
        <w:t xml:space="preserve"> only</w:t>
      </w:r>
      <w:r w:rsidRPr="0032276E">
        <w:rPr>
          <w:rFonts w:ascii="Calibri" w:hAnsi="Calibri" w:cs="Calibri"/>
          <w:color w:val="000000" w:themeColor="text1"/>
          <w:sz w:val="24"/>
          <w:szCs w:val="24"/>
          <w:shd w:val="clear" w:color="auto" w:fill="FFFFFF"/>
        </w:rPr>
        <w:t xml:space="preserve">. </w:t>
      </w:r>
    </w:p>
    <w:p w:rsidR="00697BB5" w:rsidRPr="0032276E" w:rsidRDefault="00490D4A" w:rsidP="00EF37FA">
      <w:pPr>
        <w:spacing w:line="240" w:lineRule="auto"/>
        <w:jc w:val="both"/>
        <w:rPr>
          <w:rFonts w:ascii="Calibri" w:hAnsi="Calibri" w:cs="Calibri"/>
          <w:color w:val="000000" w:themeColor="text1"/>
          <w:sz w:val="24"/>
          <w:szCs w:val="24"/>
          <w:shd w:val="clear" w:color="auto" w:fill="FFFFFF"/>
        </w:rPr>
      </w:pPr>
      <w:r>
        <w:rPr>
          <w:rFonts w:ascii="Calibri" w:hAnsi="Calibri" w:cs="Calibri"/>
          <w:color w:val="000000" w:themeColor="text1"/>
          <w:sz w:val="24"/>
          <w:szCs w:val="24"/>
          <w:shd w:val="clear" w:color="auto" w:fill="FFFFFF"/>
        </w:rPr>
        <w:t>Later in</w:t>
      </w:r>
      <w:r w:rsidR="00697BB5" w:rsidRPr="0032276E">
        <w:rPr>
          <w:rFonts w:ascii="Calibri" w:hAnsi="Calibri" w:cs="Calibri"/>
          <w:color w:val="000000" w:themeColor="text1"/>
          <w:sz w:val="24"/>
          <w:szCs w:val="24"/>
          <w:shd w:val="clear" w:color="auto" w:fill="FFFFFF"/>
        </w:rPr>
        <w:t xml:space="preserve"> Aug</w:t>
      </w:r>
      <w:r>
        <w:rPr>
          <w:rFonts w:ascii="Calibri" w:hAnsi="Calibri" w:cs="Calibri"/>
          <w:color w:val="000000" w:themeColor="text1"/>
          <w:sz w:val="24"/>
          <w:szCs w:val="24"/>
          <w:shd w:val="clear" w:color="auto" w:fill="FFFFFF"/>
        </w:rPr>
        <w:t>ust</w:t>
      </w:r>
      <w:r w:rsidR="00697BB5" w:rsidRPr="0032276E">
        <w:rPr>
          <w:rFonts w:ascii="Calibri" w:hAnsi="Calibri" w:cs="Calibri"/>
          <w:color w:val="000000" w:themeColor="text1"/>
          <w:sz w:val="24"/>
          <w:szCs w:val="24"/>
          <w:shd w:val="clear" w:color="auto" w:fill="FFFFFF"/>
        </w:rPr>
        <w:t xml:space="preserve"> 2022, we continue</w:t>
      </w:r>
      <w:r>
        <w:rPr>
          <w:rFonts w:ascii="Calibri" w:hAnsi="Calibri" w:cs="Calibri"/>
          <w:color w:val="000000" w:themeColor="text1"/>
          <w:sz w:val="24"/>
          <w:szCs w:val="24"/>
          <w:shd w:val="clear" w:color="auto" w:fill="FFFFFF"/>
        </w:rPr>
        <w:t>d</w:t>
      </w:r>
      <w:r w:rsidR="00697BB5" w:rsidRPr="0032276E">
        <w:rPr>
          <w:rFonts w:ascii="Calibri" w:hAnsi="Calibri" w:cs="Calibri"/>
          <w:color w:val="000000" w:themeColor="text1"/>
          <w:sz w:val="24"/>
          <w:szCs w:val="24"/>
          <w:shd w:val="clear" w:color="auto" w:fill="FFFFFF"/>
        </w:rPr>
        <w:t xml:space="preserve"> to contact authors of studies to be included in the NMA-immunomodulators only.</w:t>
      </w:r>
    </w:p>
    <w:p w:rsidR="003B2DF7" w:rsidRPr="0032276E" w:rsidRDefault="003B2DF7" w:rsidP="001C1B33">
      <w:pPr>
        <w:pStyle w:val="Titre3"/>
      </w:pPr>
      <w:r w:rsidRPr="0032276E">
        <w:t>Analysis:</w:t>
      </w:r>
    </w:p>
    <w:p w:rsidR="003B2DF7" w:rsidRPr="0032276E" w:rsidRDefault="003B2DF7"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We modified our protocol to consider providing updated analysis and grade evaluation every two weeks instead of every week.</w:t>
      </w:r>
    </w:p>
    <w:p w:rsidR="00663033" w:rsidRDefault="00663033" w:rsidP="00EF37FA">
      <w:pPr>
        <w:pStyle w:val="NormalWeb"/>
        <w:spacing w:before="0" w:beforeAutospacing="0" w:after="0" w:afterAutospacing="0"/>
        <w:rPr>
          <w:rFonts w:ascii="Calibri" w:eastAsia="Calibri" w:hAnsi="Calibri" w:cs="Calibri"/>
          <w:lang w:val="en-GB"/>
        </w:rPr>
      </w:pPr>
      <w:r w:rsidRPr="0032276E">
        <w:rPr>
          <w:rFonts w:ascii="Calibri" w:eastAsia="Calibri" w:hAnsi="Calibri" w:cs="Calibri"/>
          <w:lang w:val="en-GB"/>
        </w:rPr>
        <w:t>Specific analysis for outpatient setting review as of April 2021.</w:t>
      </w:r>
    </w:p>
    <w:p w:rsidR="001C1B33" w:rsidRPr="001C1B33" w:rsidRDefault="00490D4A" w:rsidP="001C1B33">
      <w:pPr>
        <w:pStyle w:val="Titre3"/>
      </w:pPr>
      <w:r w:rsidRPr="0032276E">
        <w:t>Subgroup analyses:</w:t>
      </w:r>
      <w:r w:rsidR="00D44380">
        <w:t xml:space="preserve"> </w:t>
      </w:r>
    </w:p>
    <w:p w:rsidR="00490D4A" w:rsidRPr="00D44380" w:rsidRDefault="00490D4A" w:rsidP="00D44380">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We decided to conduct post-hoc subgroup analysis to explore the impact of the funding source (public or non-profit/mixed or private) and conflict of interests.</w:t>
      </w:r>
    </w:p>
    <w:p w:rsidR="001C1B33" w:rsidRDefault="00D44380" w:rsidP="00EF37FA">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The subgroup analyses planned to explore age, sex and</w:t>
      </w:r>
    </w:p>
    <w:p w:rsidR="00490D4A" w:rsidRPr="0032276E" w:rsidRDefault="00D44380" w:rsidP="00EF37FA">
      <w:pPr>
        <w:pStyle w:val="NormalWeb"/>
        <w:spacing w:before="0" w:beforeAutospacing="0" w:after="0" w:afterAutospacing="0"/>
        <w:rPr>
          <w:rFonts w:ascii="Calibri" w:eastAsia="Calibri" w:hAnsi="Calibri" w:cs="Calibri"/>
          <w:lang w:val="en-GB"/>
        </w:rPr>
      </w:pPr>
      <w:r w:rsidRPr="00D44380">
        <w:rPr>
          <w:rFonts w:ascii="Calibri" w:eastAsia="Calibri" w:hAnsi="Calibri" w:cs="Calibri"/>
          <w:lang w:val="en-GB"/>
        </w:rPr>
        <w:t xml:space="preserve"> comorbidity status and time after the beginning of the outbreak are not conducted.</w:t>
      </w:r>
    </w:p>
    <w:p w:rsidR="00DF62E5" w:rsidRPr="0032276E" w:rsidRDefault="00DF62E5" w:rsidP="00DF62E5">
      <w:pPr>
        <w:pStyle w:val="Titre3"/>
      </w:pPr>
      <w:r w:rsidRPr="0032276E">
        <w:t>Grade:</w:t>
      </w:r>
    </w:p>
    <w:p w:rsidR="00DF62E5" w:rsidRPr="0032276E" w:rsidRDefault="00DF62E5" w:rsidP="00DF62E5">
      <w:pPr>
        <w:spacing w:line="240" w:lineRule="auto"/>
        <w:jc w:val="both"/>
        <w:rPr>
          <w:rFonts w:ascii="Calibri" w:hAnsi="Calibri" w:cs="Calibri"/>
          <w:color w:val="000000" w:themeColor="text1"/>
          <w:sz w:val="24"/>
          <w:szCs w:val="24"/>
          <w:shd w:val="clear" w:color="auto" w:fill="FFFFFF"/>
        </w:rPr>
      </w:pPr>
      <w:r w:rsidRPr="0032276E">
        <w:rPr>
          <w:rFonts w:ascii="Calibri" w:hAnsi="Calibri" w:cs="Calibri"/>
          <w:color w:val="000000" w:themeColor="text1"/>
          <w:sz w:val="24"/>
          <w:szCs w:val="24"/>
          <w:shd w:val="clear" w:color="auto" w:fill="FFFFFF"/>
        </w:rPr>
        <w:t xml:space="preserve"> For assessing imprecision in GRADE, as of July 2022, we </w:t>
      </w:r>
      <w:r w:rsidR="00BC59DD">
        <w:rPr>
          <w:rFonts w:ascii="Calibri" w:hAnsi="Calibri" w:cs="Calibri"/>
          <w:color w:val="000000" w:themeColor="text1"/>
          <w:sz w:val="24"/>
          <w:szCs w:val="24"/>
          <w:shd w:val="clear" w:color="auto" w:fill="FFFFFF"/>
        </w:rPr>
        <w:t xml:space="preserve">stopped to </w:t>
      </w:r>
      <w:r w:rsidRPr="0032276E">
        <w:rPr>
          <w:rFonts w:ascii="Calibri" w:hAnsi="Calibri" w:cs="Calibri"/>
          <w:color w:val="000000" w:themeColor="text1"/>
          <w:sz w:val="24"/>
          <w:szCs w:val="24"/>
          <w:shd w:val="clear" w:color="auto" w:fill="FFFFFF"/>
        </w:rPr>
        <w:t xml:space="preserve">consider the relative risk and standard MIDs of 0.75 and 1.25 as thresholds of an effect. Instead, we use the minimally contextualized approach. We </w:t>
      </w:r>
      <w:r w:rsidR="00BC59DD">
        <w:rPr>
          <w:rFonts w:ascii="Calibri" w:hAnsi="Calibri" w:cs="Calibri"/>
          <w:color w:val="000000" w:themeColor="text1"/>
          <w:sz w:val="24"/>
          <w:szCs w:val="24"/>
          <w:shd w:val="clear" w:color="auto" w:fill="FFFFFF"/>
        </w:rPr>
        <w:t xml:space="preserve">modified the approach to </w:t>
      </w:r>
      <w:r w:rsidRPr="0032276E">
        <w:rPr>
          <w:rFonts w:ascii="Calibri" w:hAnsi="Calibri" w:cs="Calibri"/>
          <w:color w:val="000000" w:themeColor="text1"/>
          <w:sz w:val="24"/>
          <w:szCs w:val="24"/>
          <w:shd w:val="clear" w:color="auto" w:fill="FFFFFF"/>
        </w:rPr>
        <w:t xml:space="preserve">consider the size of the absolute risk and its confidence intervals and have set minimal important difference thresholds at 5% (50 per 1000) for the outcomes of clinical improvement, time to clinical improvement, and adverse events. For the outcomes of mortality, time to death, WHO score 7 and above, time to WHO score 7 and above, and serious adverse events we have set the threshold at 1% (1 per 1000). Absolute differences smaller than 5% (or 1% respectively) are considered to indicate trivial/no effect and differences of more than 5% (or 1% respectively) are considered a clinically important benefit/harm. </w:t>
      </w:r>
    </w:p>
    <w:p w:rsidR="00B07315" w:rsidRPr="0032276E" w:rsidRDefault="00B07315" w:rsidP="00E34AB7">
      <w:pPr>
        <w:pStyle w:val="Titre2"/>
      </w:pPr>
      <w:r w:rsidRPr="0032276E">
        <w:t xml:space="preserve">Preventive trials review: </w:t>
      </w:r>
    </w:p>
    <w:p w:rsidR="00B07315" w:rsidRPr="0032276E" w:rsidRDefault="00B07315" w:rsidP="00B07315">
      <w:pPr>
        <w:spacing w:line="240" w:lineRule="auto"/>
        <w:rPr>
          <w:rFonts w:ascii="Calibri" w:hAnsi="Calibri" w:cs="Calibri"/>
          <w:sz w:val="24"/>
          <w:szCs w:val="24"/>
        </w:rPr>
      </w:pPr>
      <w:r w:rsidRPr="0032276E">
        <w:rPr>
          <w:rFonts w:ascii="Calibri" w:hAnsi="Calibri" w:cs="Calibri"/>
          <w:sz w:val="24"/>
          <w:szCs w:val="24"/>
        </w:rPr>
        <w:t xml:space="preserve">Specific outcomes were added to this review similar to the vaccine review. </w:t>
      </w:r>
    </w:p>
    <w:p w:rsidR="00B07315" w:rsidRPr="0032276E" w:rsidRDefault="00B07315" w:rsidP="00402852">
      <w:pPr>
        <w:spacing w:line="240" w:lineRule="auto"/>
        <w:rPr>
          <w:rFonts w:ascii="Calibri" w:hAnsi="Calibri" w:cs="Calibri"/>
          <w:sz w:val="24"/>
          <w:szCs w:val="24"/>
        </w:rPr>
      </w:pPr>
      <w:r w:rsidRPr="0032276E">
        <w:rPr>
          <w:rFonts w:ascii="Calibri" w:hAnsi="Calibri" w:cs="Calibri"/>
          <w:sz w:val="24"/>
          <w:szCs w:val="24"/>
        </w:rPr>
        <w:t>List of critical outcomes: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symptomatic COVID-19 (confirmed with positive test for SARS-CoV-2 infection by RT-PCR or probable</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COVID-19 confirmed with positive test for SARS-CoV-2 infection by RT-PCR</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Hospital admissions or death</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lastRenderedPageBreak/>
        <w:t>All-cause mortality</w:t>
      </w:r>
    </w:p>
    <w:p w:rsidR="00B07315" w:rsidRPr="0032276E" w:rsidRDefault="00B07315" w:rsidP="00402852">
      <w:pPr>
        <w:spacing w:line="240" w:lineRule="auto"/>
        <w:rPr>
          <w:rFonts w:ascii="Calibri" w:hAnsi="Calibri" w:cs="Calibri"/>
          <w:sz w:val="24"/>
          <w:szCs w:val="24"/>
        </w:rPr>
      </w:pPr>
      <w:r w:rsidRPr="0032276E">
        <w:rPr>
          <w:rFonts w:ascii="Calibri" w:hAnsi="Calibri" w:cs="Calibri"/>
          <w:sz w:val="24"/>
          <w:szCs w:val="24"/>
        </w:rPr>
        <w:t>In addition to the following safety outcomes for prevention of COVID-19:</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serious adverse events (SAEs)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Incidence of any adverse events List of critical outcomes:</w:t>
      </w:r>
    </w:p>
    <w:p w:rsidR="00B07315" w:rsidRPr="0032276E" w:rsidRDefault="00B07315" w:rsidP="00402852">
      <w:pPr>
        <w:pStyle w:val="Paragraphedeliste"/>
        <w:numPr>
          <w:ilvl w:val="0"/>
          <w:numId w:val="8"/>
        </w:numPr>
        <w:rPr>
          <w:rFonts w:ascii="Calibri" w:eastAsiaTheme="minorHAnsi" w:hAnsi="Calibri" w:cs="Calibri"/>
        </w:rPr>
      </w:pPr>
      <w:r w:rsidRPr="0032276E">
        <w:rPr>
          <w:rFonts w:ascii="Calibri" w:eastAsiaTheme="minorHAnsi" w:hAnsi="Calibri" w:cs="Calibri"/>
        </w:rPr>
        <w:t>ICU admissions or death</w:t>
      </w:r>
    </w:p>
    <w:p w:rsidR="00B07315" w:rsidRPr="00DF62E5" w:rsidRDefault="00B07315" w:rsidP="00402852">
      <w:pPr>
        <w:pStyle w:val="Paragraphedeliste"/>
        <w:numPr>
          <w:ilvl w:val="0"/>
          <w:numId w:val="8"/>
        </w:numPr>
        <w:rPr>
          <w:rFonts w:ascii="Calibri" w:hAnsi="Calibri" w:cs="Calibri"/>
        </w:rPr>
      </w:pPr>
      <w:r w:rsidRPr="0032276E">
        <w:rPr>
          <w:rFonts w:ascii="Calibri" w:eastAsiaTheme="minorHAnsi" w:hAnsi="Calibri" w:cs="Calibri"/>
        </w:rPr>
        <w:t>Incidence of symptomatic COVID-19 (confirmed with positive test for SARS-CoV-2 infection by RT-PCR or probable or suspected) or asymptomatic COVID-19 confirmed with positive test for SARS-CoV-2 infection by RT-PCR</w:t>
      </w:r>
    </w:p>
    <w:p w:rsidR="00DF62E5" w:rsidRPr="0032276E" w:rsidRDefault="00DF62E5" w:rsidP="00DF62E5">
      <w:pPr>
        <w:pStyle w:val="Paragraphedeliste"/>
        <w:ind w:left="360"/>
        <w:rPr>
          <w:rFonts w:ascii="Calibri" w:hAnsi="Calibri" w:cs="Calibri"/>
        </w:rPr>
      </w:pPr>
    </w:p>
    <w:p w:rsidR="00B07315" w:rsidRPr="0032276E" w:rsidRDefault="00C84BF6" w:rsidP="00A802AD">
      <w:pPr>
        <w:spacing w:line="240" w:lineRule="auto"/>
        <w:rPr>
          <w:rFonts w:ascii="Calibri" w:hAnsi="Calibri" w:cs="Calibri"/>
          <w:sz w:val="24"/>
          <w:szCs w:val="24"/>
        </w:rPr>
      </w:pPr>
      <w:r w:rsidRPr="0032276E">
        <w:rPr>
          <w:rFonts w:ascii="Calibri" w:hAnsi="Calibri" w:cs="Calibri"/>
          <w:sz w:val="24"/>
          <w:szCs w:val="24"/>
        </w:rPr>
        <w:t xml:space="preserve">The COVID-NMA stopped including preventive treatment trials. The analysis presented online includes preventive trials identified and included up to Oct 22, 2021. </w:t>
      </w:r>
    </w:p>
    <w:p w:rsidR="00B358B6" w:rsidRPr="0032276E" w:rsidRDefault="00B358B6" w:rsidP="00E34AB7">
      <w:pPr>
        <w:pStyle w:val="Titre2"/>
      </w:pPr>
      <w:r w:rsidRPr="0032276E">
        <w:t xml:space="preserve">Non-pharmacological interventions review: </w:t>
      </w:r>
    </w:p>
    <w:p w:rsidR="00B358B6" w:rsidRPr="00BC59DD" w:rsidRDefault="00B358B6" w:rsidP="00BC59DD">
      <w:pPr>
        <w:spacing w:line="240" w:lineRule="auto"/>
        <w:rPr>
          <w:rFonts w:ascii="Calibri" w:hAnsi="Calibri" w:cs="Calibri"/>
          <w:sz w:val="24"/>
          <w:szCs w:val="24"/>
        </w:rPr>
      </w:pPr>
      <w:r w:rsidRPr="00BC59DD">
        <w:rPr>
          <w:rFonts w:ascii="Calibri" w:hAnsi="Calibri" w:cs="Calibri"/>
          <w:sz w:val="24"/>
          <w:szCs w:val="24"/>
        </w:rPr>
        <w:t>As of March 1, 2022, we stopped including NPT trials. The analysis presented online includes preventive trials identified and included up to March 1, 2022. (some comparisons in it have oct 22, as last search date) </w:t>
      </w:r>
    </w:p>
    <w:p w:rsidR="00036A6C" w:rsidRDefault="00DF62E5" w:rsidP="00E34AB7">
      <w:pPr>
        <w:pStyle w:val="Titre2"/>
      </w:pPr>
      <w:r w:rsidRPr="0032276E">
        <w:t>V</w:t>
      </w:r>
      <w:r w:rsidR="00036A6C" w:rsidRPr="0032276E">
        <w:t xml:space="preserve">accine trials </w:t>
      </w:r>
      <w:r>
        <w:t>review</w:t>
      </w:r>
      <w:r w:rsidR="00036A6C" w:rsidRPr="0032276E">
        <w:t xml:space="preserve"> </w:t>
      </w:r>
    </w:p>
    <w:p w:rsidR="00036A6C" w:rsidRPr="00BC59DD" w:rsidRDefault="00BC59DD" w:rsidP="00BC59DD">
      <w:pPr>
        <w:spacing w:line="240" w:lineRule="auto"/>
        <w:rPr>
          <w:rFonts w:ascii="Calibri" w:hAnsi="Calibri" w:cs="Calibri"/>
          <w:sz w:val="24"/>
          <w:szCs w:val="24"/>
        </w:rPr>
      </w:pPr>
      <w:r w:rsidRPr="00BC59DD">
        <w:rPr>
          <w:rFonts w:ascii="Calibri" w:hAnsi="Calibri" w:cs="Calibri"/>
          <w:sz w:val="24"/>
          <w:szCs w:val="24"/>
        </w:rPr>
        <w:t>Modifications made to the protocol are p</w:t>
      </w:r>
      <w:r w:rsidR="00036A6C" w:rsidRPr="00BC59DD">
        <w:rPr>
          <w:rFonts w:ascii="Calibri" w:hAnsi="Calibri" w:cs="Calibri"/>
          <w:sz w:val="24"/>
          <w:szCs w:val="24"/>
        </w:rPr>
        <w:t xml:space="preserve">osted on </w:t>
      </w:r>
      <w:proofErr w:type="spellStart"/>
      <w:r w:rsidR="00036A6C" w:rsidRPr="00BC59DD">
        <w:rPr>
          <w:rFonts w:ascii="Calibri" w:hAnsi="Calibri" w:cs="Calibri"/>
          <w:sz w:val="24"/>
          <w:szCs w:val="24"/>
        </w:rPr>
        <w:t>zenodo</w:t>
      </w:r>
      <w:proofErr w:type="spellEnd"/>
      <w:r w:rsidR="00036A6C" w:rsidRPr="00BC59DD">
        <w:rPr>
          <w:rFonts w:ascii="Calibri" w:hAnsi="Calibri" w:cs="Calibri"/>
          <w:sz w:val="24"/>
          <w:szCs w:val="24"/>
        </w:rPr>
        <w:t xml:space="preserve">: </w:t>
      </w:r>
      <w:hyperlink r:id="rId5" w:tgtFrame="_blank" w:history="1">
        <w:r w:rsidR="00036A6C" w:rsidRPr="00BC59DD">
          <w:rPr>
            <w:rFonts w:ascii="Calibri" w:hAnsi="Calibri" w:cs="Calibri"/>
            <w:sz w:val="24"/>
            <w:szCs w:val="24"/>
          </w:rPr>
          <w:t>https://doi.org/10.5281/zenodo.7198128</w:t>
        </w:r>
      </w:hyperlink>
    </w:p>
    <w:p w:rsidR="00036A6C" w:rsidRPr="00BC59DD" w:rsidRDefault="00036A6C" w:rsidP="00BC59DD">
      <w:pPr>
        <w:spacing w:line="240" w:lineRule="auto"/>
        <w:rPr>
          <w:rFonts w:ascii="Calibri" w:hAnsi="Calibri" w:cs="Calibri"/>
          <w:sz w:val="24"/>
          <w:szCs w:val="24"/>
        </w:rPr>
      </w:pPr>
      <w:r w:rsidRPr="00BC59DD">
        <w:rPr>
          <w:rFonts w:ascii="Calibri" w:hAnsi="Calibri" w:cs="Calibri"/>
          <w:sz w:val="24"/>
          <w:szCs w:val="24"/>
        </w:rPr>
        <w:t xml:space="preserve">Below we list major changes to the protocol published on </w:t>
      </w:r>
      <w:proofErr w:type="spellStart"/>
      <w:r w:rsidRPr="00BC59DD">
        <w:rPr>
          <w:rFonts w:ascii="Calibri" w:hAnsi="Calibri" w:cs="Calibri"/>
          <w:sz w:val="24"/>
          <w:szCs w:val="24"/>
        </w:rPr>
        <w:t>zenodo</w:t>
      </w:r>
      <w:proofErr w:type="spellEnd"/>
      <w:r w:rsidRPr="00BC59DD">
        <w:rPr>
          <w:rFonts w:ascii="Calibri" w:hAnsi="Calibri" w:cs="Calibri"/>
          <w:sz w:val="24"/>
          <w:szCs w:val="24"/>
        </w:rPr>
        <w:t xml:space="preserve">  at </w:t>
      </w:r>
      <w:hyperlink r:id="rId6" w:history="1">
        <w:r w:rsidRPr="00BC59DD">
          <w:rPr>
            <w:rFonts w:ascii="Calibri" w:hAnsi="Calibri" w:cs="Calibri"/>
            <w:sz w:val="24"/>
            <w:szCs w:val="24"/>
          </w:rPr>
          <w:t>doi.org/10.5281/zenodo.6458272</w:t>
        </w:r>
      </w:hyperlink>
      <w:r w:rsidRPr="00BC59DD">
        <w:rPr>
          <w:rFonts w:ascii="Calibri" w:hAnsi="Calibri" w:cs="Calibri"/>
          <w:sz w:val="24"/>
          <w:szCs w:val="24"/>
        </w:rPr>
        <w:t xml:space="preserve"> and registered on PROSPERO (</w:t>
      </w:r>
      <w:hyperlink r:id="rId7" w:history="1">
        <w:r w:rsidRPr="00BC59DD">
          <w:rPr>
            <w:rFonts w:ascii="Calibri" w:hAnsi="Calibri" w:cs="Calibri"/>
            <w:sz w:val="24"/>
            <w:szCs w:val="24"/>
          </w:rPr>
          <w:t>www.crd.york.ac.uk/prospero/display_record.php?ID=CRD42021271897</w:t>
        </w:r>
      </w:hyperlink>
      <w:r w:rsidRPr="00BC59DD">
        <w:rPr>
          <w:rFonts w:ascii="Calibri" w:hAnsi="Calibri" w:cs="Calibri"/>
          <w:sz w:val="24"/>
          <w:szCs w:val="24"/>
        </w:rPr>
        <w:t xml:space="preserve">). </w:t>
      </w:r>
    </w:p>
    <w:p w:rsidR="00DF62E5" w:rsidRPr="00DF62E5" w:rsidRDefault="00DF62E5" w:rsidP="00DF62E5">
      <w:pPr>
        <w:pStyle w:val="Titre3"/>
      </w:pPr>
      <w:r w:rsidRPr="00DF62E5">
        <w:t>Outcomes:</w:t>
      </w:r>
    </w:p>
    <w:p w:rsidR="00036A6C" w:rsidRPr="00BC59DD" w:rsidRDefault="00036A6C" w:rsidP="00BC59DD">
      <w:pPr>
        <w:pStyle w:val="Paragraphedeliste"/>
        <w:numPr>
          <w:ilvl w:val="0"/>
          <w:numId w:val="31"/>
        </w:numPr>
        <w:rPr>
          <w:shd w:val="clear" w:color="auto" w:fill="FFFFFF"/>
          <w:lang w:val="en-US"/>
        </w:rPr>
      </w:pPr>
      <w:r w:rsidRPr="00BC59DD">
        <w:rPr>
          <w:shd w:val="clear" w:color="auto" w:fill="FFFFFF"/>
          <w:lang w:val="en-US"/>
        </w:rPr>
        <w:t>Incidence of confirmed symptomatic C</w:t>
      </w:r>
      <w:r w:rsidRPr="00BC59DD">
        <w:rPr>
          <w:lang w:val="en-US"/>
        </w:rPr>
        <w:t>ovid</w:t>
      </w:r>
      <w:r w:rsidRPr="00BC59DD">
        <w:rPr>
          <w:shd w:val="clear" w:color="auto" w:fill="FFFFFF"/>
          <w:lang w:val="en-US"/>
        </w:rPr>
        <w:t xml:space="preserve">-19 </w:t>
      </w:r>
      <w:r w:rsidRPr="00BC59DD">
        <w:rPr>
          <w:u w:val="single"/>
          <w:shd w:val="clear" w:color="auto" w:fill="FFFFFF"/>
          <w:lang w:val="en-US"/>
        </w:rPr>
        <w:t>after first dose</w:t>
      </w:r>
      <w:r w:rsidRPr="00BC59DD">
        <w:rPr>
          <w:shd w:val="clear" w:color="auto" w:fill="FFFFFF"/>
          <w:lang w:val="en-US"/>
        </w:rPr>
        <w:t xml:space="preserve"> confirmed with positive test for SARS-CoV-2 infection by RT-PCR or NAAT</w:t>
      </w:r>
      <w:r w:rsidRPr="00BC59DD">
        <w:rPr>
          <w:lang w:val="en-US"/>
        </w:rPr>
        <w:t xml:space="preserve"> or any other validated test</w:t>
      </w:r>
      <w:r w:rsidR="004D3F2D">
        <w:rPr>
          <w:shd w:val="clear" w:color="auto" w:fill="FFFFFF"/>
          <w:lang w:val="en-US"/>
        </w:rPr>
        <w:t>.</w:t>
      </w:r>
    </w:p>
    <w:p w:rsidR="00036A6C" w:rsidRPr="00492E34" w:rsidRDefault="00036A6C" w:rsidP="00492E34">
      <w:pPr>
        <w:pStyle w:val="Paragraphedeliste"/>
        <w:numPr>
          <w:ilvl w:val="0"/>
          <w:numId w:val="31"/>
        </w:numPr>
        <w:rPr>
          <w:lang w:val="en-US"/>
        </w:rPr>
      </w:pPr>
      <w:r w:rsidRPr="00BC59DD">
        <w:rPr>
          <w:shd w:val="clear" w:color="auto" w:fill="FFFFFF"/>
          <w:lang w:val="en-US"/>
        </w:rPr>
        <w:t xml:space="preserve">Incidence of participants with confirmed SARS-CoV-2 infection </w:t>
      </w:r>
      <w:r w:rsidRPr="00BC59DD">
        <w:rPr>
          <w:u w:val="single"/>
          <w:shd w:val="clear" w:color="auto" w:fill="FFFFFF"/>
          <w:lang w:val="en-US"/>
        </w:rPr>
        <w:t>after first dose</w:t>
      </w:r>
      <w:r w:rsidRPr="00BC59DD">
        <w:rPr>
          <w:shd w:val="clear" w:color="auto" w:fill="FFFFFF"/>
          <w:lang w:val="en-US"/>
        </w:rPr>
        <w:t xml:space="preserve"> confirmed by RT-PCR or Nucleic acid amplification testing (NAAT)</w:t>
      </w:r>
      <w:r w:rsidRPr="00BC59DD">
        <w:rPr>
          <w:lang w:val="en-US"/>
        </w:rPr>
        <w:t xml:space="preserve"> or any other validated test </w:t>
      </w:r>
      <w:r w:rsidRPr="00BC59DD">
        <w:rPr>
          <w:shd w:val="clear" w:color="auto" w:fill="FFFFFF"/>
          <w:lang w:val="en-US"/>
        </w:rPr>
        <w:t>(symptomatic or asymptomatic)</w:t>
      </w:r>
      <w:r w:rsidR="004D3F2D">
        <w:rPr>
          <w:shd w:val="clear" w:color="auto" w:fill="FFFFFF"/>
          <w:lang w:val="en-US"/>
        </w:rPr>
        <w:t>.</w:t>
      </w:r>
    </w:p>
    <w:p w:rsidR="00036A6C" w:rsidRPr="00BC59DD" w:rsidRDefault="00036A6C" w:rsidP="00BC59DD">
      <w:pPr>
        <w:pStyle w:val="Paragraphedeliste"/>
        <w:numPr>
          <w:ilvl w:val="0"/>
          <w:numId w:val="31"/>
        </w:numPr>
        <w:rPr>
          <w:lang w:val="en-US"/>
        </w:rPr>
      </w:pPr>
      <w:r w:rsidRPr="00BC59DD">
        <w:rPr>
          <w:lang w:val="en-US"/>
        </w:rPr>
        <w:t>Incidence of withdrawals due to adverse events</w:t>
      </w:r>
      <w:r w:rsidR="004D3F2D">
        <w:rPr>
          <w:lang w:val="en-US"/>
        </w:rPr>
        <w:t>.</w:t>
      </w:r>
    </w:p>
    <w:p w:rsidR="00036A6C" w:rsidRPr="00BC59DD" w:rsidRDefault="00036A6C" w:rsidP="00BC59DD">
      <w:pPr>
        <w:pStyle w:val="Paragraphedeliste"/>
        <w:numPr>
          <w:ilvl w:val="0"/>
          <w:numId w:val="31"/>
        </w:numPr>
        <w:rPr>
          <w:iCs/>
          <w:lang w:val="en-US"/>
        </w:rPr>
      </w:pPr>
      <w:r w:rsidRPr="00BC59DD">
        <w:rPr>
          <w:lang w:val="en-US"/>
        </w:rPr>
        <w:t xml:space="preserve">We also clarified </w:t>
      </w:r>
      <w:r w:rsidRPr="00BC59DD">
        <w:rPr>
          <w:iCs/>
          <w:lang w:val="en-US"/>
        </w:rPr>
        <w:t xml:space="preserve">some outcomes: </w:t>
      </w:r>
      <w:r w:rsidRPr="00BC59DD">
        <w:rPr>
          <w:lang w:val="en-US"/>
        </w:rPr>
        <w:t xml:space="preserve">For the outcome “specific adverse events” we collected data for “nervous system diseases” (instead of stroke, headache, delirium, and </w:t>
      </w:r>
      <w:proofErr w:type="spellStart"/>
      <w:r w:rsidRPr="00BC59DD">
        <w:rPr>
          <w:lang w:val="en-US"/>
        </w:rPr>
        <w:t>paraesthesia</w:t>
      </w:r>
      <w:proofErr w:type="spellEnd"/>
      <w:r w:rsidRPr="00BC59DD">
        <w:rPr>
          <w:lang w:val="en-US"/>
        </w:rPr>
        <w:t>) since we found this was reported more often. We didn’t collect data on “bruising.”</w:t>
      </w:r>
    </w:p>
    <w:p w:rsidR="00036A6C" w:rsidRPr="00BC59DD" w:rsidRDefault="00036A6C" w:rsidP="00BC59DD">
      <w:pPr>
        <w:pStyle w:val="Paragraphedeliste"/>
        <w:numPr>
          <w:ilvl w:val="0"/>
          <w:numId w:val="31"/>
        </w:numPr>
        <w:rPr>
          <w:iCs/>
          <w:lang w:val="en-US"/>
        </w:rPr>
      </w:pPr>
      <w:r w:rsidRPr="00BC59DD">
        <w:rPr>
          <w:iCs/>
          <w:lang w:val="en-US"/>
        </w:rPr>
        <w:t xml:space="preserve">We changed the description of the outcome systematic adverse events and local adverse events to Systematic reactogenicity events and local reactogenicity events to define immediate, short in term and usually expected adverse effects. </w:t>
      </w:r>
    </w:p>
    <w:p w:rsidR="00036A6C" w:rsidRPr="0032276E" w:rsidRDefault="00036A6C" w:rsidP="001C1B33">
      <w:pPr>
        <w:pStyle w:val="Titre3"/>
      </w:pPr>
      <w:r w:rsidRPr="0032276E">
        <w:t xml:space="preserve">Contact authors: </w:t>
      </w:r>
    </w:p>
    <w:p w:rsidR="00036A6C" w:rsidRPr="00EF37FA" w:rsidRDefault="00036A6C" w:rsidP="00036A6C">
      <w:pPr>
        <w:pStyle w:val="NormalWeb"/>
        <w:spacing w:before="0" w:beforeAutospacing="0" w:after="0" w:afterAutospacing="0"/>
        <w:rPr>
          <w:rFonts w:ascii="Calibri" w:eastAsia="Calibri" w:hAnsi="Calibri" w:cs="Calibri"/>
          <w:lang w:val="en-US"/>
        </w:rPr>
      </w:pPr>
      <w:r>
        <w:rPr>
          <w:rFonts w:ascii="Calibri" w:eastAsia="Calibri" w:hAnsi="Calibri" w:cs="Calibri"/>
          <w:lang w:val="en-US"/>
        </w:rPr>
        <w:t>Due to limited resources, w</w:t>
      </w:r>
      <w:r w:rsidRPr="000E19E2">
        <w:rPr>
          <w:rFonts w:ascii="Calibri" w:eastAsia="Calibri" w:hAnsi="Calibri" w:cs="Calibri"/>
          <w:lang w:val="en-US"/>
        </w:rPr>
        <w:t xml:space="preserve">e </w:t>
      </w:r>
      <w:r>
        <w:rPr>
          <w:rFonts w:ascii="Calibri" w:eastAsia="Calibri" w:hAnsi="Calibri" w:cs="Calibri"/>
          <w:lang w:val="en-US"/>
        </w:rPr>
        <w:t>will</w:t>
      </w:r>
      <w:r w:rsidRPr="000E19E2">
        <w:rPr>
          <w:rFonts w:ascii="Calibri" w:eastAsia="Calibri" w:hAnsi="Calibri" w:cs="Calibri"/>
          <w:lang w:val="en-US"/>
        </w:rPr>
        <w:t xml:space="preserve"> not contact study authors yet for missing results</w:t>
      </w:r>
      <w:r>
        <w:rPr>
          <w:rFonts w:ascii="Calibri" w:eastAsia="Calibri" w:hAnsi="Calibri" w:cs="Calibri"/>
          <w:lang w:val="en-US"/>
        </w:rPr>
        <w:t>.</w:t>
      </w:r>
    </w:p>
    <w:p w:rsidR="00036A6C" w:rsidRPr="0032276E" w:rsidRDefault="00036A6C" w:rsidP="001C1B33">
      <w:pPr>
        <w:pStyle w:val="Titre3"/>
      </w:pPr>
      <w:r w:rsidRPr="0032276E">
        <w:t>Analysis:</w:t>
      </w:r>
    </w:p>
    <w:p w:rsidR="00036A6C" w:rsidRPr="00EF37FA" w:rsidRDefault="004D3F2D" w:rsidP="00036A6C">
      <w:pPr>
        <w:pStyle w:val="NormalWeb"/>
        <w:spacing w:before="0" w:beforeAutospacing="0" w:after="0" w:afterAutospacing="0"/>
        <w:rPr>
          <w:rFonts w:ascii="Calibri" w:eastAsia="Calibri" w:hAnsi="Calibri" w:cs="Calibri"/>
          <w:lang w:val="en-US"/>
        </w:rPr>
      </w:pPr>
      <w:r>
        <w:rPr>
          <w:rFonts w:ascii="Calibri" w:eastAsia="Calibri" w:hAnsi="Calibri" w:cs="Calibri"/>
          <w:lang w:val="en-US"/>
        </w:rPr>
        <w:t>As of December 2021, w</w:t>
      </w:r>
      <w:r w:rsidR="00036A6C" w:rsidRPr="00EF37FA">
        <w:rPr>
          <w:rFonts w:ascii="Calibri" w:eastAsia="Calibri" w:hAnsi="Calibri" w:cs="Calibri"/>
          <w:lang w:val="en-US"/>
        </w:rPr>
        <w:t xml:space="preserve">e modified our protocol to consider providing updated analysis every </w:t>
      </w:r>
      <w:r w:rsidR="00036A6C">
        <w:rPr>
          <w:rFonts w:ascii="Calibri" w:eastAsia="Calibri" w:hAnsi="Calibri" w:cs="Calibri"/>
          <w:lang w:val="en-US"/>
        </w:rPr>
        <w:t xml:space="preserve">two </w:t>
      </w:r>
      <w:r w:rsidR="00036A6C" w:rsidRPr="00EF37FA">
        <w:rPr>
          <w:rFonts w:ascii="Calibri" w:eastAsia="Calibri" w:hAnsi="Calibri" w:cs="Calibri"/>
          <w:lang w:val="en-US"/>
        </w:rPr>
        <w:t>week</w:t>
      </w:r>
      <w:r w:rsidR="00036A6C">
        <w:rPr>
          <w:rFonts w:ascii="Calibri" w:eastAsia="Calibri" w:hAnsi="Calibri" w:cs="Calibri"/>
          <w:lang w:val="en-US"/>
        </w:rPr>
        <w:t>s</w:t>
      </w:r>
      <w:r w:rsidR="00036A6C" w:rsidRPr="00EF37FA">
        <w:rPr>
          <w:rFonts w:ascii="Calibri" w:eastAsia="Calibri" w:hAnsi="Calibri" w:cs="Calibri"/>
          <w:lang w:val="en-US"/>
        </w:rPr>
        <w:t>.</w:t>
      </w:r>
    </w:p>
    <w:p w:rsidR="00B358B6" w:rsidRPr="0032276E" w:rsidRDefault="00DF62E5" w:rsidP="00E34AB7">
      <w:pPr>
        <w:pStyle w:val="Titre2"/>
      </w:pPr>
      <w:r w:rsidRPr="0032276E">
        <w:t>V</w:t>
      </w:r>
      <w:r w:rsidR="00B358B6" w:rsidRPr="0032276E">
        <w:t xml:space="preserve">accine observational </w:t>
      </w:r>
      <w:r>
        <w:t>review</w:t>
      </w:r>
      <w:r w:rsidR="00B358B6" w:rsidRPr="0032276E">
        <w:t xml:space="preserve">: </w:t>
      </w:r>
    </w:p>
    <w:p w:rsidR="00B358B6" w:rsidRPr="0032276E" w:rsidRDefault="00B358B6" w:rsidP="00B358B6">
      <w:pPr>
        <w:spacing w:line="240" w:lineRule="auto"/>
        <w:rPr>
          <w:rFonts w:ascii="Calibri" w:hAnsi="Calibri" w:cs="Calibri"/>
          <w:sz w:val="24"/>
          <w:szCs w:val="24"/>
        </w:rPr>
      </w:pPr>
      <w:r w:rsidRPr="0032276E">
        <w:rPr>
          <w:rFonts w:ascii="Calibri" w:hAnsi="Calibri" w:cs="Calibri"/>
          <w:sz w:val="24"/>
          <w:szCs w:val="24"/>
        </w:rPr>
        <w:t>In April 2021, we decided to include vaccine observation</w:t>
      </w:r>
      <w:r w:rsidR="00BC59DD">
        <w:rPr>
          <w:rFonts w:ascii="Calibri" w:hAnsi="Calibri" w:cs="Calibri"/>
          <w:sz w:val="24"/>
          <w:szCs w:val="24"/>
        </w:rPr>
        <w:t>al</w:t>
      </w:r>
      <w:r w:rsidRPr="0032276E">
        <w:rPr>
          <w:rFonts w:ascii="Calibri" w:hAnsi="Calibri" w:cs="Calibri"/>
          <w:sz w:val="24"/>
          <w:szCs w:val="24"/>
        </w:rPr>
        <w:t xml:space="preserve"> studies and to provide living evidence synthesis for vaccines effectiveness against variants of concern. The project was </w:t>
      </w:r>
      <w:r w:rsidRPr="0032276E">
        <w:rPr>
          <w:rFonts w:ascii="Calibri" w:hAnsi="Calibri" w:cs="Calibri"/>
          <w:sz w:val="24"/>
          <w:szCs w:val="24"/>
        </w:rPr>
        <w:lastRenderedPageBreak/>
        <w:t>stopped on Nov 3 2022 as last screening date and end of Nov 2021 for completion of committed objectives.</w:t>
      </w:r>
    </w:p>
    <w:sectPr w:rsidR="00B358B6" w:rsidRPr="0032276E" w:rsidSect="00D53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F29F9"/>
    <w:multiLevelType w:val="hybridMultilevel"/>
    <w:tmpl w:val="E54AE650"/>
    <w:lvl w:ilvl="0" w:tplc="040C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0223B6"/>
    <w:multiLevelType w:val="multilevel"/>
    <w:tmpl w:val="943E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804270"/>
    <w:multiLevelType w:val="hybridMultilevel"/>
    <w:tmpl w:val="4AB0CBA6"/>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6E0B83"/>
    <w:multiLevelType w:val="hybridMultilevel"/>
    <w:tmpl w:val="80EA09F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156B02"/>
    <w:multiLevelType w:val="hybridMultilevel"/>
    <w:tmpl w:val="03484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DD3902"/>
    <w:multiLevelType w:val="hybridMultilevel"/>
    <w:tmpl w:val="4B463E22"/>
    <w:lvl w:ilvl="0" w:tplc="FEBAF1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04179C"/>
    <w:multiLevelType w:val="hybridMultilevel"/>
    <w:tmpl w:val="74D6A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A01571"/>
    <w:multiLevelType w:val="hybridMultilevel"/>
    <w:tmpl w:val="2EE8F7D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042613"/>
    <w:multiLevelType w:val="hybridMultilevel"/>
    <w:tmpl w:val="80EA09F2"/>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093623"/>
    <w:multiLevelType w:val="hybridMultilevel"/>
    <w:tmpl w:val="13B8F780"/>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375317E"/>
    <w:multiLevelType w:val="hybridMultilevel"/>
    <w:tmpl w:val="FCE0EAC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3B002BC"/>
    <w:multiLevelType w:val="multilevel"/>
    <w:tmpl w:val="4B5694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742D41"/>
    <w:multiLevelType w:val="hybridMultilevel"/>
    <w:tmpl w:val="C57E1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677E4C"/>
    <w:multiLevelType w:val="hybridMultilevel"/>
    <w:tmpl w:val="EE1E80B6"/>
    <w:lvl w:ilvl="0" w:tplc="04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7A017EB"/>
    <w:multiLevelType w:val="hybridMultilevel"/>
    <w:tmpl w:val="99D875B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EE70F6"/>
    <w:multiLevelType w:val="hybridMultilevel"/>
    <w:tmpl w:val="A7F610B0"/>
    <w:lvl w:ilvl="0" w:tplc="B5006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4C12BB"/>
    <w:multiLevelType w:val="hybridMultilevel"/>
    <w:tmpl w:val="EC22541C"/>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4A227E"/>
    <w:multiLevelType w:val="hybridMultilevel"/>
    <w:tmpl w:val="B11C0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AF3E92"/>
    <w:multiLevelType w:val="hybridMultilevel"/>
    <w:tmpl w:val="A710AABC"/>
    <w:lvl w:ilvl="0" w:tplc="8A1E2710">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001082B"/>
    <w:multiLevelType w:val="multilevel"/>
    <w:tmpl w:val="33CC8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F34841"/>
    <w:multiLevelType w:val="multilevel"/>
    <w:tmpl w:val="6E9E24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A27AC4"/>
    <w:multiLevelType w:val="hybridMultilevel"/>
    <w:tmpl w:val="F78A3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F11E4B"/>
    <w:multiLevelType w:val="hybridMultilevel"/>
    <w:tmpl w:val="C15EB4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316294"/>
    <w:multiLevelType w:val="hybridMultilevel"/>
    <w:tmpl w:val="3D98621A"/>
    <w:lvl w:ilvl="0" w:tplc="040C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357EA2"/>
    <w:multiLevelType w:val="multilevel"/>
    <w:tmpl w:val="D2628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F92585"/>
    <w:multiLevelType w:val="multilevel"/>
    <w:tmpl w:val="1DF6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2364F5"/>
    <w:multiLevelType w:val="hybridMultilevel"/>
    <w:tmpl w:val="95D8E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364F0"/>
    <w:multiLevelType w:val="hybridMultilevel"/>
    <w:tmpl w:val="209C8B3C"/>
    <w:lvl w:ilvl="0" w:tplc="04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FB613D"/>
    <w:multiLevelType w:val="hybridMultilevel"/>
    <w:tmpl w:val="553EB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79107E"/>
    <w:multiLevelType w:val="hybridMultilevel"/>
    <w:tmpl w:val="C9926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C6E6A"/>
    <w:multiLevelType w:val="hybridMultilevel"/>
    <w:tmpl w:val="2D8E2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A803A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56B69A5"/>
    <w:multiLevelType w:val="hybridMultilevel"/>
    <w:tmpl w:val="3AE4B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FD2C5E"/>
    <w:multiLevelType w:val="hybridMultilevel"/>
    <w:tmpl w:val="BB7E75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A2C2F7B"/>
    <w:multiLevelType w:val="hybridMultilevel"/>
    <w:tmpl w:val="81447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E624B71"/>
    <w:multiLevelType w:val="hybridMultilevel"/>
    <w:tmpl w:val="35322D24"/>
    <w:lvl w:ilvl="0" w:tplc="24E26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EFA0871"/>
    <w:multiLevelType w:val="hybridMultilevel"/>
    <w:tmpl w:val="119AC8D4"/>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7" w15:restartNumberingAfterBreak="0">
    <w:nsid w:val="7FE70EA1"/>
    <w:multiLevelType w:val="hybridMultilevel"/>
    <w:tmpl w:val="D136A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25"/>
  </w:num>
  <w:num w:numId="4">
    <w:abstractNumId w:val="1"/>
  </w:num>
  <w:num w:numId="5">
    <w:abstractNumId w:val="35"/>
  </w:num>
  <w:num w:numId="6">
    <w:abstractNumId w:val="30"/>
  </w:num>
  <w:num w:numId="7">
    <w:abstractNumId w:val="21"/>
  </w:num>
  <w:num w:numId="8">
    <w:abstractNumId w:val="10"/>
  </w:num>
  <w:num w:numId="9">
    <w:abstractNumId w:val="31"/>
  </w:num>
  <w:num w:numId="10">
    <w:abstractNumId w:val="29"/>
  </w:num>
  <w:num w:numId="11">
    <w:abstractNumId w:val="19"/>
  </w:num>
  <w:num w:numId="12">
    <w:abstractNumId w:val="17"/>
  </w:num>
  <w:num w:numId="13">
    <w:abstractNumId w:val="24"/>
  </w:num>
  <w:num w:numId="14">
    <w:abstractNumId w:val="26"/>
  </w:num>
  <w:num w:numId="15">
    <w:abstractNumId w:val="20"/>
  </w:num>
  <w:num w:numId="16">
    <w:abstractNumId w:val="11"/>
  </w:num>
  <w:num w:numId="17">
    <w:abstractNumId w:val="4"/>
  </w:num>
  <w:num w:numId="18">
    <w:abstractNumId w:val="12"/>
  </w:num>
  <w:num w:numId="19">
    <w:abstractNumId w:val="36"/>
  </w:num>
  <w:num w:numId="20">
    <w:abstractNumId w:val="2"/>
  </w:num>
  <w:num w:numId="21">
    <w:abstractNumId w:val="9"/>
  </w:num>
  <w:num w:numId="22">
    <w:abstractNumId w:val="7"/>
  </w:num>
  <w:num w:numId="23">
    <w:abstractNumId w:val="37"/>
  </w:num>
  <w:num w:numId="24">
    <w:abstractNumId w:val="14"/>
  </w:num>
  <w:num w:numId="25">
    <w:abstractNumId w:val="3"/>
  </w:num>
  <w:num w:numId="26">
    <w:abstractNumId w:val="8"/>
  </w:num>
  <w:num w:numId="27">
    <w:abstractNumId w:val="33"/>
  </w:num>
  <w:num w:numId="28">
    <w:abstractNumId w:val="18"/>
  </w:num>
  <w:num w:numId="29">
    <w:abstractNumId w:val="15"/>
  </w:num>
  <w:num w:numId="30">
    <w:abstractNumId w:val="5"/>
  </w:num>
  <w:num w:numId="31">
    <w:abstractNumId w:val="34"/>
  </w:num>
  <w:num w:numId="32">
    <w:abstractNumId w:val="32"/>
  </w:num>
  <w:num w:numId="33">
    <w:abstractNumId w:val="22"/>
  </w:num>
  <w:num w:numId="34">
    <w:abstractNumId w:val="27"/>
  </w:num>
  <w:num w:numId="35">
    <w:abstractNumId w:val="13"/>
  </w:num>
  <w:num w:numId="36">
    <w:abstractNumId w:val="0"/>
  </w:num>
  <w:num w:numId="37">
    <w:abstractNumId w:val="23"/>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67"/>
    <w:rsid w:val="00036A6C"/>
    <w:rsid w:val="000B340F"/>
    <w:rsid w:val="000C627B"/>
    <w:rsid w:val="000E57FE"/>
    <w:rsid w:val="00134B24"/>
    <w:rsid w:val="00186631"/>
    <w:rsid w:val="00190D24"/>
    <w:rsid w:val="001C1B33"/>
    <w:rsid w:val="002652B7"/>
    <w:rsid w:val="00295847"/>
    <w:rsid w:val="002A43EF"/>
    <w:rsid w:val="002B2FEF"/>
    <w:rsid w:val="0030553B"/>
    <w:rsid w:val="0032276E"/>
    <w:rsid w:val="0032613E"/>
    <w:rsid w:val="00345EDF"/>
    <w:rsid w:val="00370CE7"/>
    <w:rsid w:val="00374728"/>
    <w:rsid w:val="00376341"/>
    <w:rsid w:val="003B2DF7"/>
    <w:rsid w:val="00402852"/>
    <w:rsid w:val="00490D4A"/>
    <w:rsid w:val="00492E34"/>
    <w:rsid w:val="004C6667"/>
    <w:rsid w:val="004D3F2D"/>
    <w:rsid w:val="00594862"/>
    <w:rsid w:val="005A557C"/>
    <w:rsid w:val="006529D2"/>
    <w:rsid w:val="00663033"/>
    <w:rsid w:val="00697BB5"/>
    <w:rsid w:val="006C00AD"/>
    <w:rsid w:val="006F029C"/>
    <w:rsid w:val="006F61B2"/>
    <w:rsid w:val="00704E9E"/>
    <w:rsid w:val="0072310C"/>
    <w:rsid w:val="00730934"/>
    <w:rsid w:val="007B76B3"/>
    <w:rsid w:val="007D6F13"/>
    <w:rsid w:val="008657C6"/>
    <w:rsid w:val="00867E61"/>
    <w:rsid w:val="008963E7"/>
    <w:rsid w:val="008D22FB"/>
    <w:rsid w:val="00911241"/>
    <w:rsid w:val="00915FAB"/>
    <w:rsid w:val="009B755F"/>
    <w:rsid w:val="009D6A6A"/>
    <w:rsid w:val="00A30940"/>
    <w:rsid w:val="00A405BD"/>
    <w:rsid w:val="00A802AD"/>
    <w:rsid w:val="00AC7F0D"/>
    <w:rsid w:val="00B07315"/>
    <w:rsid w:val="00B358B6"/>
    <w:rsid w:val="00B6426E"/>
    <w:rsid w:val="00B97AD9"/>
    <w:rsid w:val="00BA2757"/>
    <w:rsid w:val="00BC59DD"/>
    <w:rsid w:val="00BC7845"/>
    <w:rsid w:val="00BD1D56"/>
    <w:rsid w:val="00BF583D"/>
    <w:rsid w:val="00C27BBE"/>
    <w:rsid w:val="00C51CAC"/>
    <w:rsid w:val="00C662F3"/>
    <w:rsid w:val="00C84BF6"/>
    <w:rsid w:val="00C910EF"/>
    <w:rsid w:val="00CF507E"/>
    <w:rsid w:val="00D32D8D"/>
    <w:rsid w:val="00D4098D"/>
    <w:rsid w:val="00D42EFE"/>
    <w:rsid w:val="00D44380"/>
    <w:rsid w:val="00D536BA"/>
    <w:rsid w:val="00D93418"/>
    <w:rsid w:val="00DA4F83"/>
    <w:rsid w:val="00DF5468"/>
    <w:rsid w:val="00DF62E5"/>
    <w:rsid w:val="00E12881"/>
    <w:rsid w:val="00E15BD9"/>
    <w:rsid w:val="00E34AB7"/>
    <w:rsid w:val="00E704F6"/>
    <w:rsid w:val="00E758AF"/>
    <w:rsid w:val="00E86156"/>
    <w:rsid w:val="00EE0291"/>
    <w:rsid w:val="00EE03FE"/>
    <w:rsid w:val="00EE182F"/>
    <w:rsid w:val="00EF37FA"/>
    <w:rsid w:val="00EF7956"/>
    <w:rsid w:val="00F06B13"/>
    <w:rsid w:val="00F21BCE"/>
    <w:rsid w:val="00F22BF7"/>
    <w:rsid w:val="00F25F0C"/>
    <w:rsid w:val="00F408F5"/>
    <w:rsid w:val="00FC08A2"/>
    <w:rsid w:val="00FE13F8"/>
    <w:rsid w:val="00FF7F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939B"/>
  <w15:chartTrackingRefBased/>
  <w15:docId w15:val="{FCA09EB7-C893-4D79-9221-7A62ADBC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B358B6"/>
    <w:pPr>
      <w:keepNext/>
      <w:keepLines/>
      <w:numPr>
        <w:numId w:val="2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autoRedefine/>
    <w:uiPriority w:val="9"/>
    <w:unhideWhenUsed/>
    <w:qFormat/>
    <w:rsid w:val="00E34AB7"/>
    <w:pPr>
      <w:keepNext/>
      <w:keepLines/>
      <w:spacing w:before="40" w:after="0" w:line="240" w:lineRule="auto"/>
      <w:outlineLvl w:val="1"/>
    </w:pPr>
    <w:rPr>
      <w:rFonts w:ascii="Calibri" w:eastAsia="Calibri" w:hAnsi="Calibri" w:cs="Calibri"/>
      <w:color w:val="1F3864" w:themeColor="accent1" w:themeShade="80"/>
      <w:sz w:val="28"/>
      <w:szCs w:val="24"/>
      <w:lang w:eastAsia="fr-FR"/>
    </w:rPr>
  </w:style>
  <w:style w:type="paragraph" w:styleId="Titre3">
    <w:name w:val="heading 3"/>
    <w:basedOn w:val="Normal"/>
    <w:next w:val="Normal"/>
    <w:link w:val="Titre3Car"/>
    <w:autoRedefine/>
    <w:uiPriority w:val="9"/>
    <w:unhideWhenUsed/>
    <w:qFormat/>
    <w:rsid w:val="00E34AB7"/>
    <w:pPr>
      <w:keepNext/>
      <w:keepLines/>
      <w:spacing w:before="40" w:after="0"/>
      <w:outlineLvl w:val="2"/>
    </w:pPr>
    <w:rPr>
      <w:rFonts w:asciiTheme="majorHAnsi" w:eastAsia="Calibri" w:hAnsiTheme="majorHAnsi" w:cstheme="majorBidi"/>
      <w:color w:val="5B9BD5" w:themeColor="accent5"/>
      <w:sz w:val="24"/>
      <w:szCs w:val="24"/>
    </w:rPr>
  </w:style>
  <w:style w:type="paragraph" w:styleId="Titre4">
    <w:name w:val="heading 4"/>
    <w:basedOn w:val="Titre3"/>
    <w:next w:val="Normal"/>
    <w:link w:val="Titre4Car"/>
    <w:autoRedefine/>
    <w:uiPriority w:val="9"/>
    <w:unhideWhenUsed/>
    <w:qFormat/>
    <w:rsid w:val="001C1B33"/>
    <w:pPr>
      <w:ind w:left="720"/>
      <w:outlineLvl w:val="3"/>
    </w:pPr>
    <w:rPr>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34AB7"/>
    <w:rPr>
      <w:rFonts w:ascii="Calibri" w:eastAsia="Calibri" w:hAnsi="Calibri" w:cs="Calibri"/>
      <w:color w:val="1F3864" w:themeColor="accent1" w:themeShade="80"/>
      <w:sz w:val="28"/>
      <w:szCs w:val="24"/>
      <w:lang w:eastAsia="fr-FR"/>
    </w:rPr>
  </w:style>
  <w:style w:type="paragraph" w:styleId="NormalWeb">
    <w:name w:val="Normal (Web)"/>
    <w:basedOn w:val="Normal"/>
    <w:link w:val="NormalWebCar"/>
    <w:uiPriority w:val="99"/>
    <w:unhideWhenUsed/>
    <w:rsid w:val="00F22BF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itre1Car">
    <w:name w:val="Titre 1 Car"/>
    <w:basedOn w:val="Policepardfaut"/>
    <w:link w:val="Titre1"/>
    <w:uiPriority w:val="9"/>
    <w:rsid w:val="00B358B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E34AB7"/>
    <w:rPr>
      <w:rFonts w:asciiTheme="majorHAnsi" w:eastAsia="Calibri" w:hAnsiTheme="majorHAnsi" w:cstheme="majorBidi"/>
      <w:color w:val="5B9BD5" w:themeColor="accent5"/>
      <w:sz w:val="24"/>
      <w:szCs w:val="24"/>
    </w:rPr>
  </w:style>
  <w:style w:type="table" w:styleId="Grilledutableau">
    <w:name w:val="Table Grid"/>
    <w:basedOn w:val="TableauNormal"/>
    <w:uiPriority w:val="39"/>
    <w:rsid w:val="00F22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C1B33"/>
    <w:rPr>
      <w:rFonts w:asciiTheme="majorHAnsi" w:eastAsia="Calibri" w:hAnsiTheme="majorHAnsi" w:cstheme="majorBidi"/>
      <w:color w:val="5B9BD5" w:themeColor="accent5"/>
      <w:sz w:val="24"/>
      <w:szCs w:val="24"/>
      <w:u w:val="single"/>
      <w:lang w:eastAsia="fr-FR"/>
    </w:rPr>
  </w:style>
  <w:style w:type="paragraph" w:styleId="Paragraphedeliste">
    <w:name w:val="List Paragraph"/>
    <w:basedOn w:val="Normal"/>
    <w:uiPriority w:val="34"/>
    <w:qFormat/>
    <w:rsid w:val="00697BB5"/>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NormalWebCar">
    <w:name w:val="Normal (Web) Car"/>
    <w:basedOn w:val="Policepardfaut"/>
    <w:link w:val="NormalWeb"/>
    <w:uiPriority w:val="99"/>
    <w:rsid w:val="002B2FEF"/>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semiHidden/>
    <w:unhideWhenUsed/>
    <w:rsid w:val="00DA4F83"/>
    <w:rPr>
      <w:color w:val="0000FF"/>
      <w:u w:val="single"/>
    </w:rPr>
  </w:style>
  <w:style w:type="paragraph" w:styleId="Textedebulles">
    <w:name w:val="Balloon Text"/>
    <w:basedOn w:val="Normal"/>
    <w:link w:val="TextedebullesCar"/>
    <w:uiPriority w:val="99"/>
    <w:semiHidden/>
    <w:unhideWhenUsed/>
    <w:rsid w:val="00DF62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62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56692">
      <w:bodyDiv w:val="1"/>
      <w:marLeft w:val="0"/>
      <w:marRight w:val="0"/>
      <w:marTop w:val="0"/>
      <w:marBottom w:val="0"/>
      <w:divBdr>
        <w:top w:val="none" w:sz="0" w:space="0" w:color="auto"/>
        <w:left w:val="none" w:sz="0" w:space="0" w:color="auto"/>
        <w:bottom w:val="none" w:sz="0" w:space="0" w:color="auto"/>
        <w:right w:val="none" w:sz="0" w:space="0" w:color="auto"/>
      </w:divBdr>
    </w:div>
    <w:div w:id="725178497">
      <w:bodyDiv w:val="1"/>
      <w:marLeft w:val="0"/>
      <w:marRight w:val="0"/>
      <w:marTop w:val="0"/>
      <w:marBottom w:val="0"/>
      <w:divBdr>
        <w:top w:val="none" w:sz="0" w:space="0" w:color="auto"/>
        <w:left w:val="none" w:sz="0" w:space="0" w:color="auto"/>
        <w:bottom w:val="none" w:sz="0" w:space="0" w:color="auto"/>
        <w:right w:val="none" w:sz="0" w:space="0" w:color="auto"/>
      </w:divBdr>
    </w:div>
    <w:div w:id="882450142">
      <w:bodyDiv w:val="1"/>
      <w:marLeft w:val="0"/>
      <w:marRight w:val="0"/>
      <w:marTop w:val="0"/>
      <w:marBottom w:val="0"/>
      <w:divBdr>
        <w:top w:val="none" w:sz="0" w:space="0" w:color="auto"/>
        <w:left w:val="none" w:sz="0" w:space="0" w:color="auto"/>
        <w:bottom w:val="none" w:sz="0" w:space="0" w:color="auto"/>
        <w:right w:val="none" w:sz="0" w:space="0" w:color="auto"/>
      </w:divBdr>
    </w:div>
    <w:div w:id="1065225463">
      <w:bodyDiv w:val="1"/>
      <w:marLeft w:val="0"/>
      <w:marRight w:val="0"/>
      <w:marTop w:val="0"/>
      <w:marBottom w:val="0"/>
      <w:divBdr>
        <w:top w:val="none" w:sz="0" w:space="0" w:color="auto"/>
        <w:left w:val="none" w:sz="0" w:space="0" w:color="auto"/>
        <w:bottom w:val="none" w:sz="0" w:space="0" w:color="auto"/>
        <w:right w:val="none" w:sz="0" w:space="0" w:color="auto"/>
      </w:divBdr>
    </w:div>
    <w:div w:id="140525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rd.york.ac.uk/prospero/display_record.php?ID=CRD420212718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nodo.org/record/6458272" TargetMode="External"/><Relationship Id="rId5" Type="http://schemas.openxmlformats.org/officeDocument/2006/relationships/hyperlink" Target="https://doi.org/10.5281/zenodo.719812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1274</TotalTime>
  <Pages>4</Pages>
  <Words>1180</Words>
  <Characters>6491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ghosn</dc:creator>
  <cp:keywords/>
  <dc:description/>
  <cp:lastModifiedBy>Lina Elchall</cp:lastModifiedBy>
  <cp:revision>36</cp:revision>
  <cp:lastPrinted>2022-10-17T13:52:00Z</cp:lastPrinted>
  <dcterms:created xsi:type="dcterms:W3CDTF">2022-09-30T07:46:00Z</dcterms:created>
  <dcterms:modified xsi:type="dcterms:W3CDTF">2022-10-25T13:19:00Z</dcterms:modified>
</cp:coreProperties>
</file>